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39" w:rsidRPr="00C1470E" w:rsidRDefault="007B0124">
      <w:pPr>
        <w:textAlignment w:val="bottom"/>
        <w:rPr>
          <w:rFonts w:ascii="Arial" w:eastAsia="Times New Roman" w:hAnsi="Arial" w:cs="Arial"/>
          <w:lang w:val="en-GB"/>
        </w:rPr>
      </w:pPr>
      <w:r w:rsidRPr="00C1470E">
        <w:rPr>
          <w:rFonts w:ascii="Arial" w:eastAsia="Times New Roman" w:hAnsi="Arial" w:cs="Arial"/>
          <w:noProof/>
        </w:rPr>
        <w:drawing>
          <wp:inline distT="0" distB="0" distL="0" distR="0">
            <wp:extent cx="2066925" cy="647700"/>
            <wp:effectExtent l="0" t="0" r="9525" b="0"/>
            <wp:docPr id="1" name="Image 1" descr="http://media.renault.com/images/generic/header/Renault_PressReleas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renault.com/images/generic/header/Renault_PressReleaseHeader.jpg"/>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a:ln>
                      <a:noFill/>
                    </a:ln>
                  </pic:spPr>
                </pic:pic>
              </a:graphicData>
            </a:graphic>
          </wp:inline>
        </w:drawing>
      </w:r>
      <w:r w:rsidRPr="00C1470E">
        <w:rPr>
          <w:rStyle w:val="releasetitle1"/>
          <w:rFonts w:eastAsia="Times New Roman"/>
          <w:lang w:val="en-GB"/>
        </w:rPr>
        <w:t>Press Release</w:t>
      </w:r>
    </w:p>
    <w:p w:rsidR="00692739" w:rsidRPr="00C1470E" w:rsidRDefault="00D73F29">
      <w:pPr>
        <w:jc w:val="right"/>
        <w:textAlignment w:val="top"/>
        <w:divId w:val="1359165524"/>
        <w:rPr>
          <w:rFonts w:ascii="Arial" w:eastAsia="Times New Roman" w:hAnsi="Arial" w:cs="Arial"/>
          <w:lang w:val="en-GB"/>
        </w:rPr>
      </w:pPr>
      <w:r w:rsidRPr="00C1470E">
        <w:rPr>
          <w:rStyle w:val="releasedate1"/>
          <w:rFonts w:eastAsia="Times New Roman"/>
          <w:lang w:val="en-GB"/>
        </w:rPr>
        <w:t>19 January 2015</w:t>
      </w:r>
    </w:p>
    <w:p w:rsidR="00692739" w:rsidRPr="00C1470E" w:rsidRDefault="00692739">
      <w:pPr>
        <w:pStyle w:val="Titre1"/>
        <w:spacing w:before="0" w:beforeAutospacing="0" w:after="0" w:afterAutospacing="0"/>
        <w:textAlignment w:val="top"/>
        <w:divId w:val="1001079551"/>
        <w:rPr>
          <w:rFonts w:eastAsia="Times New Roman"/>
          <w:lang w:val="en-GB"/>
        </w:rPr>
      </w:pPr>
    </w:p>
    <w:p w:rsidR="00020B4A" w:rsidRPr="00C1470E" w:rsidRDefault="00020B4A">
      <w:pPr>
        <w:pStyle w:val="Titre1"/>
        <w:spacing w:before="0" w:beforeAutospacing="0" w:after="0" w:afterAutospacing="0"/>
        <w:textAlignment w:val="top"/>
        <w:divId w:val="1001079551"/>
        <w:rPr>
          <w:rFonts w:eastAsia="Times New Roman"/>
          <w:lang w:val="en-GB"/>
        </w:rPr>
      </w:pPr>
    </w:p>
    <w:p w:rsidR="00692739" w:rsidRPr="00C1470E" w:rsidRDefault="007B0124">
      <w:pPr>
        <w:pStyle w:val="Titre1"/>
        <w:spacing w:before="0" w:beforeAutospacing="0" w:after="0" w:afterAutospacing="0"/>
        <w:textAlignment w:val="top"/>
        <w:divId w:val="1001079551"/>
        <w:rPr>
          <w:rFonts w:eastAsia="Times New Roman"/>
          <w:lang w:val="en-GB"/>
        </w:rPr>
      </w:pPr>
      <w:r w:rsidRPr="00C1470E">
        <w:rPr>
          <w:rFonts w:eastAsia="Times New Roman"/>
          <w:lang w:val="en-GB"/>
        </w:rPr>
        <w:t>Worldwide sales results 2014</w:t>
      </w:r>
    </w:p>
    <w:p w:rsidR="00692739" w:rsidRPr="00C1470E" w:rsidRDefault="00692739">
      <w:pPr>
        <w:pStyle w:val="Titre1"/>
        <w:spacing w:before="0" w:beforeAutospacing="0" w:after="0" w:afterAutospacing="0"/>
        <w:textAlignment w:val="top"/>
        <w:divId w:val="1001079551"/>
        <w:rPr>
          <w:rFonts w:eastAsia="Times New Roman"/>
          <w:caps w:val="0"/>
          <w:color w:val="auto"/>
          <w:kern w:val="0"/>
          <w:sz w:val="14"/>
          <w:szCs w:val="16"/>
          <w:lang w:val="en-GB"/>
        </w:rPr>
      </w:pPr>
    </w:p>
    <w:p w:rsidR="00020B4A" w:rsidRPr="007D50F6" w:rsidRDefault="00020B4A" w:rsidP="00020B4A">
      <w:pPr>
        <w:pStyle w:val="Titre1"/>
        <w:spacing w:before="0" w:beforeAutospacing="0" w:after="0" w:afterAutospacing="0" w:line="360" w:lineRule="auto"/>
        <w:textAlignment w:val="top"/>
        <w:divId w:val="1001079551"/>
        <w:rPr>
          <w:rFonts w:eastAsia="Times New Roman"/>
          <w:caps w:val="0"/>
          <w:color w:val="auto"/>
          <w:kern w:val="0"/>
          <w:sz w:val="28"/>
          <w:szCs w:val="30"/>
          <w:lang w:val="en-GB"/>
        </w:rPr>
      </w:pPr>
      <w:r w:rsidRPr="007D50F6">
        <w:rPr>
          <w:rFonts w:eastAsia="Times New Roman"/>
          <w:caps w:val="0"/>
          <w:color w:val="auto"/>
          <w:kern w:val="0"/>
          <w:sz w:val="28"/>
          <w:szCs w:val="30"/>
          <w:lang w:val="en-GB"/>
        </w:rPr>
        <w:t>Renault global sales increased further by 3.2% to 2.7 million units</w:t>
      </w:r>
    </w:p>
    <w:p w:rsidR="00692739" w:rsidRPr="00C1470E" w:rsidRDefault="00D86630" w:rsidP="00B83293">
      <w:pPr>
        <w:pStyle w:val="NormalWeb"/>
        <w:spacing w:line="360" w:lineRule="auto"/>
        <w:jc w:val="both"/>
        <w:textAlignment w:val="top"/>
        <w:divId w:val="1001079551"/>
        <w:rPr>
          <w:rFonts w:ascii="Arial" w:hAnsi="Arial" w:cs="Arial"/>
          <w:b/>
          <w:sz w:val="20"/>
          <w:szCs w:val="20"/>
          <w:lang w:val="en-GB"/>
        </w:rPr>
      </w:pPr>
      <w:r w:rsidRPr="00C1470E">
        <w:rPr>
          <w:rFonts w:ascii="Arial" w:hAnsi="Arial" w:cs="Arial"/>
          <w:b/>
          <w:sz w:val="20"/>
          <w:szCs w:val="20"/>
          <w:lang w:val="en-GB"/>
        </w:rPr>
        <w:t>In 2014, sales of private cars + light commercial vehicles (PC+LCV) by the Renault group increased by 3.2% with 2,712,432 vehicles registered in a global automotive market that rose by 3.5%.</w:t>
      </w:r>
    </w:p>
    <w:p w:rsidR="00692739" w:rsidRPr="00C1470E" w:rsidRDefault="00E32A33" w:rsidP="00413B04">
      <w:pPr>
        <w:pStyle w:val="NormalWeb"/>
        <w:spacing w:line="360" w:lineRule="auto"/>
        <w:jc w:val="both"/>
        <w:textAlignment w:val="top"/>
        <w:divId w:val="1001079551"/>
        <w:rPr>
          <w:rFonts w:ascii="Arial" w:hAnsi="Arial" w:cs="Arial"/>
          <w:b/>
          <w:sz w:val="20"/>
          <w:szCs w:val="20"/>
          <w:lang w:val="en-GB"/>
        </w:rPr>
      </w:pPr>
      <w:r w:rsidRPr="00C1470E">
        <w:rPr>
          <w:rFonts w:ascii="Arial" w:hAnsi="Arial" w:cs="Arial"/>
          <w:b/>
          <w:sz w:val="20"/>
          <w:szCs w:val="20"/>
          <w:lang w:val="en-GB"/>
        </w:rPr>
        <w:t xml:space="preserve">In Europe, the Renault group's market share reached the 10% threshold, up by 0.6 points. With 1,464,611 vehicles sold, the Group's volumes rose 12.5%, which was double the market growth. Thanks to the strong performance of the Renault and Dacia brands, driven by the success of the Clio, </w:t>
      </w:r>
      <w:proofErr w:type="spellStart"/>
      <w:r w:rsidRPr="00C1470E">
        <w:rPr>
          <w:rFonts w:ascii="Arial" w:hAnsi="Arial" w:cs="Arial"/>
          <w:b/>
          <w:sz w:val="20"/>
          <w:szCs w:val="20"/>
          <w:lang w:val="en-GB"/>
        </w:rPr>
        <w:t>Captur</w:t>
      </w:r>
      <w:proofErr w:type="spellEnd"/>
      <w:r w:rsidRPr="00C1470E">
        <w:rPr>
          <w:rFonts w:ascii="Arial" w:hAnsi="Arial" w:cs="Arial"/>
          <w:b/>
          <w:sz w:val="20"/>
          <w:szCs w:val="20"/>
          <w:lang w:val="en-GB"/>
        </w:rPr>
        <w:t xml:space="preserve">, Duster and </w:t>
      </w:r>
      <w:proofErr w:type="spellStart"/>
      <w:r w:rsidRPr="00C1470E">
        <w:rPr>
          <w:rFonts w:ascii="Arial" w:hAnsi="Arial" w:cs="Arial"/>
          <w:b/>
          <w:sz w:val="20"/>
          <w:szCs w:val="20"/>
          <w:lang w:val="en-GB"/>
        </w:rPr>
        <w:t>Sandero</w:t>
      </w:r>
      <w:proofErr w:type="spellEnd"/>
      <w:r w:rsidRPr="00C1470E">
        <w:rPr>
          <w:rFonts w:ascii="Arial" w:hAnsi="Arial" w:cs="Arial"/>
          <w:b/>
          <w:sz w:val="20"/>
          <w:szCs w:val="20"/>
          <w:lang w:val="en-GB"/>
        </w:rPr>
        <w:t>, the Group was able to offset the slowdown in its sales on the international market.</w:t>
      </w:r>
    </w:p>
    <w:p w:rsidR="00692739" w:rsidRPr="00C1470E" w:rsidRDefault="00D86630" w:rsidP="00372EA9">
      <w:pPr>
        <w:pStyle w:val="NormalWeb"/>
        <w:spacing w:line="360" w:lineRule="auto"/>
        <w:jc w:val="both"/>
        <w:textAlignment w:val="top"/>
        <w:divId w:val="1001079551"/>
        <w:rPr>
          <w:rFonts w:ascii="Arial" w:hAnsi="Arial" w:cs="Arial"/>
          <w:b/>
          <w:sz w:val="20"/>
          <w:szCs w:val="20"/>
          <w:lang w:val="en-GB"/>
        </w:rPr>
      </w:pPr>
      <w:r w:rsidRPr="00C1470E">
        <w:rPr>
          <w:rFonts w:ascii="Arial" w:hAnsi="Arial" w:cs="Arial"/>
          <w:b/>
          <w:sz w:val="20"/>
          <w:szCs w:val="20"/>
          <w:lang w:val="en-GB"/>
        </w:rPr>
        <w:t xml:space="preserve">Affected by the economic and financial crises on its main emerging markets, the Group held firm and posted record market share in Brazil (7.1%) and Russia (7.9%), its </w:t>
      </w:r>
      <w:r w:rsidR="00C1470E" w:rsidRPr="00C1470E">
        <w:rPr>
          <w:rFonts w:ascii="Arial" w:hAnsi="Arial" w:cs="Arial"/>
          <w:b/>
          <w:sz w:val="20"/>
          <w:szCs w:val="20"/>
          <w:lang w:val="en-GB"/>
        </w:rPr>
        <w:t>second and</w:t>
      </w:r>
      <w:r w:rsidR="00FA7548" w:rsidRPr="00C1470E">
        <w:rPr>
          <w:rFonts w:ascii="Arial" w:hAnsi="Arial" w:cs="Arial"/>
          <w:b/>
          <w:sz w:val="20"/>
          <w:szCs w:val="20"/>
          <w:lang w:val="en-GB"/>
        </w:rPr>
        <w:t xml:space="preserve"> third largest markets. Nevertheless, in this difficult context, car registrations outside Europe dropped 5.9%.</w:t>
      </w:r>
    </w:p>
    <w:p w:rsidR="00A371E9" w:rsidRPr="00C1470E" w:rsidRDefault="00A371E9" w:rsidP="00715EF7">
      <w:pPr>
        <w:pStyle w:val="NormalWeb"/>
        <w:spacing w:before="0" w:beforeAutospacing="0" w:after="0" w:afterAutospacing="0"/>
        <w:jc w:val="both"/>
        <w:textAlignment w:val="top"/>
        <w:divId w:val="1001079551"/>
        <w:rPr>
          <w:rFonts w:ascii="Arial" w:hAnsi="Arial" w:cs="Arial"/>
          <w:b/>
          <w:sz w:val="20"/>
          <w:szCs w:val="20"/>
          <w:lang w:val="en-GB"/>
        </w:rPr>
      </w:pPr>
      <w:r w:rsidRPr="00C1470E">
        <w:rPr>
          <w:rFonts w:ascii="Arial" w:hAnsi="Arial" w:cs="Arial"/>
          <w:b/>
          <w:sz w:val="20"/>
          <w:szCs w:val="20"/>
          <w:lang w:val="en-GB"/>
        </w:rPr>
        <w:t xml:space="preserve">In summary, in 2014: </w:t>
      </w:r>
    </w:p>
    <w:p w:rsidR="00A371E9" w:rsidRPr="00C1470E" w:rsidRDefault="00A371E9" w:rsidP="004A4E00">
      <w:pPr>
        <w:pStyle w:val="NormalWeb"/>
        <w:numPr>
          <w:ilvl w:val="0"/>
          <w:numId w:val="17"/>
        </w:numPr>
        <w:spacing w:line="360" w:lineRule="auto"/>
        <w:jc w:val="both"/>
        <w:textAlignment w:val="top"/>
        <w:divId w:val="1001079551"/>
        <w:rPr>
          <w:rFonts w:ascii="Arial" w:hAnsi="Arial" w:cs="Arial"/>
          <w:b/>
          <w:sz w:val="20"/>
          <w:szCs w:val="20"/>
          <w:lang w:val="en-GB"/>
        </w:rPr>
      </w:pPr>
      <w:r w:rsidRPr="00C1470E">
        <w:rPr>
          <w:rFonts w:ascii="Arial" w:hAnsi="Arial" w:cs="Arial"/>
          <w:b/>
          <w:sz w:val="20"/>
          <w:szCs w:val="20"/>
          <w:lang w:val="en-GB"/>
        </w:rPr>
        <w:t>The Renault group's PC+LCV sales rose 3.2% to 2.7 million units</w:t>
      </w:r>
      <w:r w:rsidR="004A4E00" w:rsidRPr="00C1470E">
        <w:rPr>
          <w:rFonts w:ascii="Arial" w:hAnsi="Arial" w:cs="Arial"/>
          <w:b/>
          <w:sz w:val="20"/>
          <w:szCs w:val="20"/>
          <w:lang w:val="en-GB"/>
        </w:rPr>
        <w:t>;</w:t>
      </w:r>
    </w:p>
    <w:p w:rsidR="00A371E9" w:rsidRPr="00C1470E" w:rsidRDefault="00A371E9" w:rsidP="004A4E00">
      <w:pPr>
        <w:pStyle w:val="NormalWeb"/>
        <w:numPr>
          <w:ilvl w:val="0"/>
          <w:numId w:val="17"/>
        </w:numPr>
        <w:spacing w:line="360" w:lineRule="auto"/>
        <w:jc w:val="both"/>
        <w:textAlignment w:val="top"/>
        <w:divId w:val="1001079551"/>
        <w:rPr>
          <w:rFonts w:ascii="Arial" w:hAnsi="Arial" w:cs="Arial"/>
          <w:b/>
          <w:sz w:val="20"/>
          <w:szCs w:val="20"/>
          <w:lang w:val="en-GB"/>
        </w:rPr>
      </w:pPr>
      <w:r w:rsidRPr="00C1470E">
        <w:rPr>
          <w:rFonts w:ascii="Arial" w:hAnsi="Arial" w:cs="Arial"/>
          <w:b/>
          <w:sz w:val="20"/>
          <w:szCs w:val="20"/>
          <w:lang w:val="en-GB"/>
        </w:rPr>
        <w:t>The Renault group gained market shares in nine of its ten main markets</w:t>
      </w:r>
      <w:r w:rsidR="004A4E00" w:rsidRPr="00C1470E">
        <w:rPr>
          <w:rFonts w:ascii="Arial" w:hAnsi="Arial" w:cs="Arial"/>
          <w:b/>
          <w:sz w:val="20"/>
          <w:szCs w:val="20"/>
          <w:lang w:val="en-GB"/>
        </w:rPr>
        <w:t>;</w:t>
      </w:r>
    </w:p>
    <w:p w:rsidR="00A371E9" w:rsidRPr="00C1470E" w:rsidRDefault="00A371E9" w:rsidP="004A4E00">
      <w:pPr>
        <w:pStyle w:val="NormalWeb"/>
        <w:numPr>
          <w:ilvl w:val="0"/>
          <w:numId w:val="17"/>
        </w:numPr>
        <w:spacing w:line="360" w:lineRule="auto"/>
        <w:jc w:val="both"/>
        <w:textAlignment w:val="top"/>
        <w:divId w:val="1001079551"/>
        <w:rPr>
          <w:rFonts w:ascii="Arial" w:hAnsi="Arial" w:cs="Arial"/>
          <w:b/>
          <w:sz w:val="20"/>
          <w:szCs w:val="20"/>
          <w:lang w:val="en-GB"/>
        </w:rPr>
      </w:pPr>
      <w:r w:rsidRPr="00C1470E">
        <w:rPr>
          <w:rFonts w:ascii="Arial" w:hAnsi="Arial" w:cs="Arial"/>
          <w:b/>
          <w:sz w:val="20"/>
          <w:szCs w:val="20"/>
          <w:lang w:val="en-GB"/>
        </w:rPr>
        <w:t>In Europe, Group market share was 10%: The Renault brand gained 0.2 points of market share, while Dacia gained 0.4 points. In the LCV segment, Renault maintained its leadership for the 17</w:t>
      </w:r>
      <w:r w:rsidR="004D5F1B" w:rsidRPr="00C1470E">
        <w:rPr>
          <w:rFonts w:ascii="Arial" w:hAnsi="Arial" w:cs="Arial"/>
          <w:b/>
          <w:bCs/>
          <w:sz w:val="20"/>
          <w:szCs w:val="20"/>
          <w:vertAlign w:val="superscript"/>
          <w:lang w:val="en-GB"/>
        </w:rPr>
        <w:t>th</w:t>
      </w:r>
      <w:r w:rsidR="004D5F1B" w:rsidRPr="00C1470E">
        <w:rPr>
          <w:rFonts w:ascii="Arial" w:hAnsi="Arial" w:cs="Arial"/>
          <w:b/>
          <w:bCs/>
          <w:sz w:val="20"/>
          <w:szCs w:val="20"/>
          <w:lang w:val="en-GB"/>
        </w:rPr>
        <w:t xml:space="preserve"> successive year, with a 14.2% market share</w:t>
      </w:r>
      <w:r w:rsidR="004A4E00" w:rsidRPr="00C1470E">
        <w:rPr>
          <w:rFonts w:ascii="Arial" w:hAnsi="Arial" w:cs="Arial"/>
          <w:b/>
          <w:bCs/>
          <w:sz w:val="20"/>
          <w:szCs w:val="20"/>
          <w:lang w:val="en-GB"/>
        </w:rPr>
        <w:t>;</w:t>
      </w:r>
    </w:p>
    <w:p w:rsidR="00A371E9" w:rsidRPr="00C1470E" w:rsidRDefault="00A371E9" w:rsidP="00E2762B">
      <w:pPr>
        <w:pStyle w:val="NormalWeb"/>
        <w:numPr>
          <w:ilvl w:val="0"/>
          <w:numId w:val="17"/>
        </w:numPr>
        <w:spacing w:line="360" w:lineRule="auto"/>
        <w:jc w:val="both"/>
        <w:textAlignment w:val="top"/>
        <w:divId w:val="1001079551"/>
        <w:rPr>
          <w:rFonts w:ascii="Arial" w:hAnsi="Arial" w:cs="Arial"/>
          <w:b/>
          <w:sz w:val="20"/>
          <w:szCs w:val="20"/>
          <w:lang w:val="en-GB"/>
        </w:rPr>
      </w:pPr>
      <w:r w:rsidRPr="00C1470E">
        <w:rPr>
          <w:rFonts w:ascii="Arial" w:hAnsi="Arial" w:cs="Arial"/>
          <w:b/>
          <w:sz w:val="20"/>
          <w:szCs w:val="20"/>
          <w:lang w:val="en-GB"/>
        </w:rPr>
        <w:t>Internationally, the Group held firm and increased its market share in six of its seven largest markets, including Brazil (7.1%) and Russia (7.9%).</w:t>
      </w:r>
    </w:p>
    <w:p w:rsidR="00020B4A" w:rsidRPr="00C1470E" w:rsidRDefault="00C36652" w:rsidP="00020B4A">
      <w:pPr>
        <w:pStyle w:val="NormalWeb"/>
        <w:spacing w:line="360" w:lineRule="auto"/>
        <w:ind w:left="1021" w:right="1041"/>
        <w:jc w:val="both"/>
        <w:textAlignment w:val="top"/>
        <w:rPr>
          <w:rFonts w:ascii="Arial" w:hAnsi="Arial" w:cs="Arial"/>
          <w:sz w:val="20"/>
          <w:szCs w:val="20"/>
          <w:lang w:val="en-GB"/>
        </w:rPr>
      </w:pPr>
      <w:r w:rsidRPr="00C1470E">
        <w:rPr>
          <w:rFonts w:ascii="Arial" w:hAnsi="Arial" w:cs="Arial"/>
          <w:i/>
          <w:sz w:val="20"/>
          <w:szCs w:val="20"/>
          <w:lang w:val="en-GB"/>
        </w:rPr>
        <w:t>"In 2014, Renault sales rose 3.2% to 2.7 million units and accounted for 10% of market share in Europe. The Group has taken a new step forward in its medium-term plan, Renault Drive the Change,"</w:t>
      </w:r>
      <w:r w:rsidR="00020B4A" w:rsidRPr="00C1470E">
        <w:rPr>
          <w:rFonts w:ascii="Arial" w:hAnsi="Arial" w:cs="Arial"/>
          <w:sz w:val="20"/>
          <w:szCs w:val="20"/>
          <w:lang w:val="en-GB"/>
        </w:rPr>
        <w:t xml:space="preserve"> declared </w:t>
      </w:r>
      <w:proofErr w:type="spellStart"/>
      <w:r w:rsidR="00020B4A" w:rsidRPr="00C1470E">
        <w:rPr>
          <w:rStyle w:val="lev"/>
          <w:rFonts w:ascii="Arial" w:hAnsi="Arial" w:cs="Arial"/>
          <w:sz w:val="20"/>
          <w:szCs w:val="20"/>
          <w:lang w:val="en-GB"/>
        </w:rPr>
        <w:t>Jérôme</w:t>
      </w:r>
      <w:proofErr w:type="spellEnd"/>
      <w:r w:rsidR="00020B4A" w:rsidRPr="00C1470E">
        <w:rPr>
          <w:rStyle w:val="lev"/>
          <w:rFonts w:ascii="Arial" w:hAnsi="Arial" w:cs="Arial"/>
          <w:sz w:val="20"/>
          <w:szCs w:val="20"/>
          <w:lang w:val="en-GB"/>
        </w:rPr>
        <w:t xml:space="preserve"> Stoll</w:t>
      </w:r>
      <w:r w:rsidR="00020B4A" w:rsidRPr="00C1470E">
        <w:rPr>
          <w:rFonts w:ascii="Arial" w:hAnsi="Arial" w:cs="Arial"/>
          <w:sz w:val="20"/>
          <w:szCs w:val="20"/>
          <w:lang w:val="en-GB"/>
        </w:rPr>
        <w:t>, a member of the Executive Committee, Chief Performance Officer and Executive Vice-President Sales and Marketing.</w:t>
      </w:r>
    </w:p>
    <w:p w:rsidR="00020B4A" w:rsidRPr="00C1470E" w:rsidRDefault="00020B4A" w:rsidP="006024D0">
      <w:pPr>
        <w:pStyle w:val="NormalWeb"/>
        <w:spacing w:after="0" w:afterAutospacing="0" w:line="360" w:lineRule="auto"/>
        <w:jc w:val="both"/>
        <w:textAlignment w:val="top"/>
        <w:divId w:val="1001079551"/>
        <w:rPr>
          <w:rStyle w:val="subtitle1"/>
          <w:sz w:val="20"/>
          <w:szCs w:val="20"/>
          <w:lang w:val="en-GB"/>
        </w:rPr>
      </w:pPr>
    </w:p>
    <w:p w:rsidR="00CB7286" w:rsidRPr="00C1470E" w:rsidRDefault="00CB7286" w:rsidP="00CB7286">
      <w:pPr>
        <w:pStyle w:val="NormalWeb"/>
        <w:spacing w:before="0" w:beforeAutospacing="0" w:line="360" w:lineRule="auto"/>
        <w:jc w:val="both"/>
        <w:textAlignment w:val="top"/>
        <w:divId w:val="1001079551"/>
        <w:rPr>
          <w:rStyle w:val="subtitle1"/>
          <w:sz w:val="20"/>
          <w:szCs w:val="20"/>
          <w:lang w:val="en-GB"/>
        </w:rPr>
      </w:pPr>
    </w:p>
    <w:p w:rsidR="00E3135E" w:rsidRPr="00C1470E" w:rsidRDefault="00E3135E" w:rsidP="00CB7286">
      <w:pPr>
        <w:pStyle w:val="NormalWeb"/>
        <w:spacing w:before="0" w:beforeAutospacing="0" w:line="360" w:lineRule="auto"/>
        <w:jc w:val="both"/>
        <w:textAlignment w:val="top"/>
        <w:divId w:val="1001079551"/>
        <w:rPr>
          <w:rStyle w:val="subtitle1"/>
          <w:sz w:val="20"/>
          <w:szCs w:val="20"/>
          <w:lang w:val="en-GB"/>
        </w:rPr>
      </w:pPr>
      <w:r w:rsidRPr="00C1470E">
        <w:rPr>
          <w:rStyle w:val="subtitle1"/>
          <w:sz w:val="20"/>
          <w:szCs w:val="20"/>
          <w:lang w:val="en-GB"/>
        </w:rPr>
        <w:t xml:space="preserve">EUROPE </w:t>
      </w:r>
    </w:p>
    <w:p w:rsidR="00692739" w:rsidRPr="00C1470E" w:rsidRDefault="00FF273D" w:rsidP="00F15131">
      <w:pPr>
        <w:pStyle w:val="NormalWeb"/>
        <w:spacing w:line="360" w:lineRule="auto"/>
        <w:jc w:val="both"/>
        <w:textAlignment w:val="top"/>
        <w:divId w:val="1001079551"/>
        <w:rPr>
          <w:rFonts w:ascii="Arial" w:hAnsi="Arial" w:cs="Arial"/>
          <w:sz w:val="20"/>
          <w:szCs w:val="20"/>
          <w:lang w:val="en-GB"/>
        </w:rPr>
      </w:pPr>
      <w:r w:rsidRPr="00C1470E">
        <w:rPr>
          <w:rStyle w:val="subtitle1"/>
          <w:sz w:val="20"/>
          <w:szCs w:val="20"/>
          <w:lang w:val="en-GB"/>
        </w:rPr>
        <w:t xml:space="preserve">In 2014, the </w:t>
      </w:r>
      <w:r w:rsidR="007B0124" w:rsidRPr="00C1470E">
        <w:rPr>
          <w:rStyle w:val="lev"/>
          <w:rFonts w:ascii="Arial" w:hAnsi="Arial" w:cs="Arial"/>
          <w:sz w:val="20"/>
          <w:szCs w:val="20"/>
          <w:lang w:val="en-GB"/>
        </w:rPr>
        <w:t xml:space="preserve">Renault group recorded a 12.5% increase </w:t>
      </w:r>
      <w:r w:rsidR="00326B61">
        <w:rPr>
          <w:rStyle w:val="lev"/>
          <w:rFonts w:ascii="Arial" w:hAnsi="Arial" w:cs="Arial"/>
          <w:sz w:val="20"/>
          <w:szCs w:val="20"/>
          <w:lang w:val="en-GB"/>
        </w:rPr>
        <w:t xml:space="preserve">in </w:t>
      </w:r>
      <w:r w:rsidR="007B0124" w:rsidRPr="00C1470E">
        <w:rPr>
          <w:rStyle w:val="lev"/>
          <w:rFonts w:ascii="Arial" w:hAnsi="Arial" w:cs="Arial"/>
          <w:sz w:val="20"/>
          <w:szCs w:val="20"/>
          <w:lang w:val="en-GB"/>
        </w:rPr>
        <w:t>new car registrations in a market that grew 5.9% and exceeded the 10% market share threshold (up 0.6 points). The Group increased its volumes and market share across nearly all markets. The most substantial growth was recorded in the United Kingdom (+41.9%), Portugal (+42.1%), Spain (+30.2%) and Italy (+28.9%).</w:t>
      </w:r>
    </w:p>
    <w:p w:rsidR="00482C31" w:rsidRPr="00C1470E" w:rsidRDefault="00FA6275" w:rsidP="00E13DF0">
      <w:pPr>
        <w:pStyle w:val="NormalWeb"/>
        <w:spacing w:line="360" w:lineRule="auto"/>
        <w:jc w:val="both"/>
        <w:textAlignment w:val="top"/>
        <w:divId w:val="1001079551"/>
        <w:rPr>
          <w:rFonts w:ascii="Arial" w:hAnsi="Arial" w:cs="Arial"/>
          <w:bCs/>
          <w:sz w:val="20"/>
          <w:szCs w:val="20"/>
          <w:lang w:val="en-GB"/>
        </w:rPr>
      </w:pPr>
      <w:r w:rsidRPr="00C1470E">
        <w:rPr>
          <w:rFonts w:ascii="Arial" w:hAnsi="Arial" w:cs="Arial"/>
          <w:bCs/>
          <w:sz w:val="20"/>
          <w:szCs w:val="20"/>
          <w:lang w:val="en-GB"/>
        </w:rPr>
        <w:t xml:space="preserve">- The </w:t>
      </w:r>
      <w:r w:rsidR="007B0124" w:rsidRPr="00C1470E">
        <w:rPr>
          <w:rFonts w:ascii="Arial" w:hAnsi="Arial" w:cs="Arial"/>
          <w:b/>
          <w:bCs/>
          <w:sz w:val="20"/>
          <w:szCs w:val="20"/>
          <w:lang w:val="en-GB"/>
        </w:rPr>
        <w:t xml:space="preserve">Renault brand </w:t>
      </w:r>
      <w:r w:rsidR="007B0124" w:rsidRPr="00C1470E">
        <w:rPr>
          <w:rFonts w:ascii="Arial" w:hAnsi="Arial" w:cs="Arial"/>
          <w:bCs/>
          <w:sz w:val="20"/>
          <w:szCs w:val="20"/>
          <w:lang w:val="en-GB"/>
        </w:rPr>
        <w:t>is the</w:t>
      </w:r>
      <w:r w:rsidR="00BE459C" w:rsidRPr="00C1470E">
        <w:rPr>
          <w:rFonts w:ascii="Arial" w:hAnsi="Arial" w:cs="Arial"/>
          <w:bCs/>
          <w:sz w:val="20"/>
          <w:szCs w:val="20"/>
          <w:lang w:val="en-GB"/>
        </w:rPr>
        <w:t xml:space="preserve"> third largest on the PC+LCV market with 7.6% of market share (+0.2 points). Renault is the leader in France and has regained its position as </w:t>
      </w:r>
      <w:r w:rsidR="00C1470E" w:rsidRPr="00C1470E">
        <w:rPr>
          <w:rFonts w:ascii="Arial" w:hAnsi="Arial" w:cs="Arial"/>
          <w:bCs/>
          <w:sz w:val="20"/>
          <w:szCs w:val="20"/>
          <w:lang w:val="en-GB"/>
        </w:rPr>
        <w:t>the second</w:t>
      </w:r>
      <w:r w:rsidR="00715EF7" w:rsidRPr="00C1470E">
        <w:rPr>
          <w:rFonts w:ascii="Arial" w:hAnsi="Arial" w:cs="Arial"/>
          <w:bCs/>
          <w:sz w:val="20"/>
          <w:szCs w:val="20"/>
          <w:lang w:val="en-GB"/>
        </w:rPr>
        <w:t xml:space="preserve"> brand in Spain. Thanks to the Clio and </w:t>
      </w:r>
      <w:proofErr w:type="spellStart"/>
      <w:r w:rsidR="00715EF7" w:rsidRPr="00C1470E">
        <w:rPr>
          <w:rFonts w:ascii="Arial" w:hAnsi="Arial" w:cs="Arial"/>
          <w:bCs/>
          <w:sz w:val="20"/>
          <w:szCs w:val="20"/>
          <w:lang w:val="en-GB"/>
        </w:rPr>
        <w:t>Captur</w:t>
      </w:r>
      <w:proofErr w:type="spellEnd"/>
      <w:r w:rsidR="00715EF7" w:rsidRPr="00C1470E">
        <w:rPr>
          <w:rFonts w:ascii="Arial" w:hAnsi="Arial" w:cs="Arial"/>
          <w:bCs/>
          <w:sz w:val="20"/>
          <w:szCs w:val="20"/>
          <w:lang w:val="en-GB"/>
        </w:rPr>
        <w:t xml:space="preserve">, Renault succeeded in </w:t>
      </w:r>
      <w:r w:rsidR="00C1470E" w:rsidRPr="00C1470E">
        <w:rPr>
          <w:rFonts w:ascii="Arial" w:hAnsi="Arial" w:cs="Arial"/>
          <w:bCs/>
          <w:sz w:val="20"/>
          <w:szCs w:val="20"/>
          <w:lang w:val="en-GB"/>
        </w:rPr>
        <w:t>taking first</w:t>
      </w:r>
      <w:r w:rsidR="004C679A" w:rsidRPr="00C1470E">
        <w:rPr>
          <w:rFonts w:ascii="Arial" w:hAnsi="Arial" w:cs="Arial"/>
          <w:bCs/>
          <w:sz w:val="20"/>
          <w:szCs w:val="20"/>
          <w:lang w:val="en-GB"/>
        </w:rPr>
        <w:t xml:space="preserve"> place on the urban vehicle market (A and B segments). In the LCV segment, Renault maintained its </w:t>
      </w:r>
      <w:r w:rsidR="007B0124" w:rsidRPr="00C1470E">
        <w:rPr>
          <w:rFonts w:ascii="Arial" w:hAnsi="Arial" w:cs="Arial"/>
          <w:b/>
          <w:bCs/>
          <w:sz w:val="20"/>
          <w:szCs w:val="20"/>
          <w:lang w:val="en-GB"/>
        </w:rPr>
        <w:t>lead for the 17</w:t>
      </w:r>
      <w:r w:rsidR="007B0124" w:rsidRPr="00C1470E">
        <w:rPr>
          <w:rFonts w:ascii="Arial" w:hAnsi="Arial" w:cs="Arial"/>
          <w:b/>
          <w:bCs/>
          <w:sz w:val="20"/>
          <w:szCs w:val="20"/>
          <w:vertAlign w:val="superscript"/>
          <w:lang w:val="en-GB"/>
        </w:rPr>
        <w:t>th</w:t>
      </w:r>
      <w:r w:rsidR="00BE459C" w:rsidRPr="00C1470E">
        <w:rPr>
          <w:rFonts w:ascii="Arial" w:hAnsi="Arial" w:cs="Arial"/>
          <w:b/>
          <w:bCs/>
          <w:sz w:val="20"/>
          <w:szCs w:val="20"/>
          <w:lang w:val="en-GB"/>
        </w:rPr>
        <w:t xml:space="preserve"> successive </w:t>
      </w:r>
      <w:r w:rsidRPr="00C1470E">
        <w:rPr>
          <w:rFonts w:ascii="Arial" w:hAnsi="Arial" w:cs="Arial"/>
          <w:b/>
          <w:bCs/>
          <w:sz w:val="20"/>
          <w:szCs w:val="20"/>
          <w:lang w:val="en-GB"/>
        </w:rPr>
        <w:t xml:space="preserve">year </w:t>
      </w:r>
      <w:r w:rsidR="004C679A" w:rsidRPr="00C1470E">
        <w:rPr>
          <w:rFonts w:ascii="Arial" w:hAnsi="Arial" w:cs="Arial"/>
          <w:bCs/>
          <w:sz w:val="20"/>
          <w:szCs w:val="20"/>
          <w:lang w:val="en-GB"/>
        </w:rPr>
        <w:t>(with a 14.2% market share).</w:t>
      </w:r>
    </w:p>
    <w:p w:rsidR="002353DF" w:rsidRPr="00C1470E" w:rsidRDefault="00FA6275" w:rsidP="00C1470E">
      <w:pPr>
        <w:pStyle w:val="NormalWeb"/>
        <w:spacing w:line="360" w:lineRule="auto"/>
        <w:jc w:val="both"/>
        <w:textAlignment w:val="top"/>
        <w:divId w:val="1001079551"/>
        <w:rPr>
          <w:rFonts w:ascii="Arial" w:hAnsi="Arial" w:cs="Arial"/>
          <w:sz w:val="20"/>
          <w:szCs w:val="20"/>
          <w:lang w:val="en-GB"/>
        </w:rPr>
      </w:pPr>
      <w:r w:rsidRPr="00C1470E">
        <w:rPr>
          <w:rFonts w:ascii="Arial" w:hAnsi="Arial" w:cs="Arial"/>
          <w:b/>
          <w:sz w:val="20"/>
          <w:szCs w:val="20"/>
          <w:lang w:val="en-GB"/>
        </w:rPr>
        <w:t xml:space="preserve">- For the second year running, </w:t>
      </w:r>
      <w:r w:rsidR="00C1470E" w:rsidRPr="00C1470E">
        <w:rPr>
          <w:rFonts w:ascii="Arial" w:hAnsi="Arial" w:cs="Arial"/>
          <w:b/>
          <w:sz w:val="20"/>
          <w:szCs w:val="20"/>
          <w:lang w:val="en-GB"/>
        </w:rPr>
        <w:t xml:space="preserve">the </w:t>
      </w:r>
      <w:r w:rsidR="00C1470E" w:rsidRPr="00C1470E">
        <w:rPr>
          <w:rFonts w:ascii="Arial" w:hAnsi="Arial" w:cs="Arial"/>
          <w:sz w:val="20"/>
          <w:szCs w:val="20"/>
          <w:lang w:val="en-GB"/>
        </w:rPr>
        <w:t>Dacia</w:t>
      </w:r>
      <w:r w:rsidR="007B0124" w:rsidRPr="00C1470E">
        <w:rPr>
          <w:rFonts w:ascii="Arial" w:hAnsi="Arial" w:cs="Arial"/>
          <w:b/>
          <w:bCs/>
          <w:sz w:val="20"/>
          <w:szCs w:val="20"/>
          <w:lang w:val="en-GB"/>
        </w:rPr>
        <w:t xml:space="preserve"> brand </w:t>
      </w:r>
      <w:r w:rsidR="007B0124" w:rsidRPr="00C1470E">
        <w:rPr>
          <w:rFonts w:ascii="Arial" w:hAnsi="Arial" w:cs="Arial"/>
          <w:sz w:val="20"/>
          <w:szCs w:val="20"/>
          <w:lang w:val="en-GB"/>
        </w:rPr>
        <w:t xml:space="preserve">recorded the strongest increase in market share in Europe: +0.4 points at 2.5%. In France, Dacia, the </w:t>
      </w:r>
      <w:r w:rsidR="008015C4" w:rsidRPr="00C1470E">
        <w:rPr>
          <w:rFonts w:ascii="Arial" w:hAnsi="Arial" w:cs="Arial"/>
          <w:sz w:val="20"/>
          <w:szCs w:val="20"/>
          <w:lang w:val="en-GB"/>
        </w:rPr>
        <w:t xml:space="preserve">fifth brand on the market, gained 0.5 points to 4.9% market penetration, mainly driven by the success of Duster and </w:t>
      </w:r>
      <w:proofErr w:type="spellStart"/>
      <w:r w:rsidR="008015C4" w:rsidRPr="00C1470E">
        <w:rPr>
          <w:rFonts w:ascii="Arial" w:hAnsi="Arial" w:cs="Arial"/>
          <w:sz w:val="20"/>
          <w:szCs w:val="20"/>
          <w:lang w:val="en-GB"/>
        </w:rPr>
        <w:t>Sandero</w:t>
      </w:r>
      <w:proofErr w:type="spellEnd"/>
      <w:r w:rsidR="008015C4" w:rsidRPr="00C1470E">
        <w:rPr>
          <w:rFonts w:ascii="Arial" w:hAnsi="Arial" w:cs="Arial"/>
          <w:sz w:val="20"/>
          <w:szCs w:val="20"/>
          <w:lang w:val="en-GB"/>
        </w:rPr>
        <w:t xml:space="preserve"> (the third</w:t>
      </w:r>
      <w:r w:rsidR="004A4E00" w:rsidRPr="00C1470E">
        <w:rPr>
          <w:rFonts w:ascii="Arial" w:hAnsi="Arial" w:cs="Arial"/>
          <w:sz w:val="20"/>
          <w:szCs w:val="20"/>
          <w:lang w:val="en-GB"/>
        </w:rPr>
        <w:t xml:space="preserve"> </w:t>
      </w:r>
      <w:r w:rsidR="008015C4" w:rsidRPr="00C1470E">
        <w:rPr>
          <w:rFonts w:ascii="Arial" w:hAnsi="Arial" w:cs="Arial"/>
          <w:sz w:val="20"/>
          <w:szCs w:val="20"/>
          <w:lang w:val="en-GB"/>
        </w:rPr>
        <w:t xml:space="preserve">best-selling vehicle for private customers). </w:t>
      </w:r>
      <w:r w:rsidRPr="00C1470E">
        <w:rPr>
          <w:rFonts w:ascii="Arial" w:hAnsi="Arial" w:cs="Arial"/>
          <w:b/>
          <w:sz w:val="20"/>
          <w:szCs w:val="20"/>
          <w:lang w:val="en-GB"/>
        </w:rPr>
        <w:t>I</w:t>
      </w:r>
      <w:r w:rsidR="00482C31" w:rsidRPr="00C1470E">
        <w:rPr>
          <w:rFonts w:ascii="Arial" w:hAnsi="Arial" w:cs="Arial"/>
          <w:b/>
          <w:sz w:val="20"/>
          <w:szCs w:val="20"/>
          <w:lang w:val="en-GB"/>
        </w:rPr>
        <w:t xml:space="preserve">n Spain, thanks to </w:t>
      </w:r>
      <w:proofErr w:type="spellStart"/>
      <w:r w:rsidR="00482C31" w:rsidRPr="00C1470E">
        <w:rPr>
          <w:rFonts w:ascii="Arial" w:hAnsi="Arial" w:cs="Arial"/>
          <w:b/>
          <w:sz w:val="20"/>
          <w:szCs w:val="20"/>
          <w:lang w:val="en-GB"/>
        </w:rPr>
        <w:t>Sandero</w:t>
      </w:r>
      <w:proofErr w:type="spellEnd"/>
      <w:r w:rsidR="00482C31" w:rsidRPr="00C1470E">
        <w:rPr>
          <w:rFonts w:ascii="Arial" w:hAnsi="Arial" w:cs="Arial"/>
          <w:b/>
          <w:sz w:val="20"/>
          <w:szCs w:val="20"/>
          <w:lang w:val="en-GB"/>
        </w:rPr>
        <w:t xml:space="preserve">, the top-selling vehicle for private individuals, </w:t>
      </w:r>
      <w:r w:rsidR="00B42739" w:rsidRPr="00C1470E">
        <w:rPr>
          <w:rFonts w:ascii="Arial" w:hAnsi="Arial" w:cs="Arial"/>
          <w:sz w:val="20"/>
          <w:szCs w:val="20"/>
          <w:lang w:val="en-GB"/>
        </w:rPr>
        <w:t>Dacia increased its market share by 0.7 points to 4.7% of market share and 45,986 new car registrations. Dacia also posted record volumes and market share in nearly all European countries, such as in Italy (2.7% of market share and nearly 40,000 registrations) or in the United Kingdom where Dacia has already conquered nearly 1 point of market share after only two years on the market (23,862 new customers in 2014).</w:t>
      </w:r>
    </w:p>
    <w:p w:rsidR="008015C4" w:rsidRPr="00C1470E" w:rsidRDefault="00FA6275" w:rsidP="002353DF">
      <w:pPr>
        <w:pStyle w:val="NormalWeb"/>
        <w:spacing w:line="360" w:lineRule="auto"/>
        <w:jc w:val="both"/>
        <w:textAlignment w:val="top"/>
        <w:divId w:val="1001079551"/>
        <w:rPr>
          <w:rFonts w:ascii="Arial" w:hAnsi="Arial" w:cs="Arial"/>
          <w:sz w:val="20"/>
          <w:szCs w:val="20"/>
          <w:lang w:val="en-GB"/>
        </w:rPr>
      </w:pPr>
      <w:r w:rsidRPr="00C1470E">
        <w:rPr>
          <w:rFonts w:ascii="Arial" w:hAnsi="Arial" w:cs="Arial"/>
          <w:sz w:val="20"/>
          <w:szCs w:val="20"/>
          <w:lang w:val="en-GB"/>
        </w:rPr>
        <w:t xml:space="preserve">- In </w:t>
      </w:r>
      <w:r w:rsidR="003E505E" w:rsidRPr="00C1470E">
        <w:rPr>
          <w:rFonts w:ascii="Arial" w:hAnsi="Arial" w:cs="Arial"/>
          <w:b/>
          <w:bCs/>
          <w:sz w:val="20"/>
          <w:szCs w:val="20"/>
          <w:lang w:val="en-GB"/>
        </w:rPr>
        <w:t>France</w:t>
      </w:r>
      <w:r w:rsidR="003E505E" w:rsidRPr="00C1470E">
        <w:rPr>
          <w:rFonts w:ascii="Arial" w:hAnsi="Arial" w:cs="Arial"/>
          <w:sz w:val="20"/>
          <w:szCs w:val="20"/>
          <w:lang w:val="en-GB"/>
        </w:rPr>
        <w:t xml:space="preserve">, the Renault group gained 1.3 points of market share, at 26.6% and increased sales volumes by 5.5% compared with 2013. With over 105,000 registrations, Clio is the best-selling car on the French market, while </w:t>
      </w:r>
      <w:proofErr w:type="spellStart"/>
      <w:r w:rsidR="003E505E" w:rsidRPr="00C1470E">
        <w:rPr>
          <w:rFonts w:ascii="Arial" w:hAnsi="Arial" w:cs="Arial"/>
          <w:sz w:val="20"/>
          <w:szCs w:val="20"/>
          <w:lang w:val="en-GB"/>
        </w:rPr>
        <w:t>Captur</w:t>
      </w:r>
      <w:proofErr w:type="spellEnd"/>
      <w:r w:rsidR="003E505E" w:rsidRPr="00C1470E">
        <w:rPr>
          <w:rFonts w:ascii="Arial" w:hAnsi="Arial" w:cs="Arial"/>
          <w:sz w:val="20"/>
          <w:szCs w:val="20"/>
          <w:lang w:val="en-GB"/>
        </w:rPr>
        <w:t xml:space="preserve"> is the most popular crossover. The Group has five vehicles among the top 10 best-selling passenger cars. For the </w:t>
      </w:r>
      <w:r w:rsidR="003E505E" w:rsidRPr="00C1470E">
        <w:rPr>
          <w:rFonts w:ascii="Arial" w:hAnsi="Arial" w:cs="Arial"/>
          <w:b/>
          <w:sz w:val="20"/>
          <w:szCs w:val="20"/>
          <w:lang w:val="en-GB"/>
        </w:rPr>
        <w:t>LCV</w:t>
      </w:r>
      <w:r w:rsidR="003E505E" w:rsidRPr="00C1470E">
        <w:rPr>
          <w:rFonts w:ascii="Arial" w:hAnsi="Arial" w:cs="Arial"/>
          <w:sz w:val="20"/>
          <w:szCs w:val="20"/>
          <w:lang w:val="en-GB"/>
        </w:rPr>
        <w:t xml:space="preserve"> segment, the brand dominates the market with 31.7% of market share and a 1.3% increase in new car registrations.</w:t>
      </w:r>
    </w:p>
    <w:p w:rsidR="00CB7286" w:rsidRPr="00C1470E" w:rsidRDefault="00CB7286" w:rsidP="00CB7286">
      <w:pPr>
        <w:pStyle w:val="NormalWeb"/>
        <w:spacing w:line="360" w:lineRule="auto"/>
        <w:jc w:val="both"/>
        <w:textAlignment w:val="top"/>
        <w:divId w:val="1001079551"/>
        <w:rPr>
          <w:rFonts w:ascii="Arial" w:hAnsi="Arial" w:cs="Arial"/>
          <w:b/>
          <w:sz w:val="20"/>
          <w:szCs w:val="20"/>
          <w:lang w:val="en-GB"/>
        </w:rPr>
      </w:pPr>
    </w:p>
    <w:p w:rsidR="003417CC" w:rsidRPr="00C1470E" w:rsidRDefault="00E44848" w:rsidP="00CB7286">
      <w:pPr>
        <w:pStyle w:val="NormalWeb"/>
        <w:spacing w:line="360" w:lineRule="auto"/>
        <w:jc w:val="both"/>
        <w:textAlignment w:val="top"/>
        <w:divId w:val="1001079551"/>
        <w:rPr>
          <w:rFonts w:ascii="Arial" w:hAnsi="Arial" w:cs="Arial"/>
          <w:b/>
          <w:sz w:val="20"/>
          <w:szCs w:val="20"/>
          <w:lang w:val="en-GB"/>
        </w:rPr>
      </w:pPr>
      <w:r w:rsidRPr="00C1470E">
        <w:rPr>
          <w:rFonts w:ascii="Arial" w:hAnsi="Arial" w:cs="Arial"/>
          <w:b/>
          <w:sz w:val="20"/>
          <w:szCs w:val="20"/>
          <w:lang w:val="en-GB"/>
        </w:rPr>
        <w:t>INTERNATIONAL</w:t>
      </w:r>
    </w:p>
    <w:p w:rsidR="00733316" w:rsidRPr="00C1470E" w:rsidRDefault="00E44848" w:rsidP="000F2F50">
      <w:pPr>
        <w:spacing w:before="100" w:beforeAutospacing="1" w:after="100" w:afterAutospacing="1" w:line="360" w:lineRule="auto"/>
        <w:jc w:val="both"/>
        <w:textAlignment w:val="top"/>
        <w:divId w:val="1001079551"/>
        <w:rPr>
          <w:rFonts w:ascii="Arial" w:hAnsi="Arial" w:cs="Arial"/>
          <w:b/>
          <w:sz w:val="20"/>
          <w:szCs w:val="20"/>
          <w:lang w:val="en-GB"/>
        </w:rPr>
      </w:pPr>
      <w:r w:rsidRPr="00C1470E">
        <w:rPr>
          <w:rFonts w:ascii="Arial" w:hAnsi="Arial" w:cs="Arial"/>
          <w:b/>
          <w:sz w:val="20"/>
          <w:szCs w:val="20"/>
          <w:lang w:val="en-GB"/>
        </w:rPr>
        <w:t xml:space="preserve">Against a backdrop of downturn in its main emerging markets, Renault held its own, gaining market share in Russia, Brazil, Turkey and Algeria. Nevertheless, Group new car registrations dropped 5.9% outside Europe to 1,247,821 units. They represent 46% of the Group's total registrations, against 50% in 2013. </w:t>
      </w:r>
    </w:p>
    <w:p w:rsidR="00CB7286" w:rsidRPr="00C1470E" w:rsidRDefault="00CB7286" w:rsidP="00610884">
      <w:pPr>
        <w:pStyle w:val="NormalWeb"/>
        <w:spacing w:after="0" w:afterAutospacing="0" w:line="360" w:lineRule="auto"/>
        <w:jc w:val="both"/>
        <w:textAlignment w:val="top"/>
        <w:divId w:val="1001079551"/>
        <w:rPr>
          <w:rFonts w:ascii="Arial" w:hAnsi="Arial" w:cs="Arial"/>
          <w:b/>
          <w:sz w:val="20"/>
          <w:szCs w:val="20"/>
          <w:lang w:val="en-GB"/>
        </w:rPr>
      </w:pPr>
    </w:p>
    <w:p w:rsidR="00CB7286" w:rsidRPr="00C1470E" w:rsidRDefault="00CB7286" w:rsidP="00610884">
      <w:pPr>
        <w:pStyle w:val="NormalWeb"/>
        <w:spacing w:after="0" w:afterAutospacing="0" w:line="360" w:lineRule="auto"/>
        <w:jc w:val="both"/>
        <w:textAlignment w:val="top"/>
        <w:divId w:val="1001079551"/>
        <w:rPr>
          <w:rFonts w:ascii="Arial" w:hAnsi="Arial" w:cs="Arial"/>
          <w:b/>
          <w:sz w:val="20"/>
          <w:szCs w:val="20"/>
          <w:lang w:val="en-GB"/>
        </w:rPr>
      </w:pPr>
    </w:p>
    <w:p w:rsidR="00CB7286" w:rsidRPr="00C1470E" w:rsidRDefault="00CB7286" w:rsidP="00610884">
      <w:pPr>
        <w:pStyle w:val="NormalWeb"/>
        <w:spacing w:after="0" w:afterAutospacing="0" w:line="360" w:lineRule="auto"/>
        <w:jc w:val="both"/>
        <w:textAlignment w:val="top"/>
        <w:divId w:val="1001079551"/>
        <w:rPr>
          <w:rFonts w:ascii="Arial" w:hAnsi="Arial" w:cs="Arial"/>
          <w:b/>
          <w:sz w:val="20"/>
          <w:szCs w:val="20"/>
          <w:lang w:val="en-GB"/>
        </w:rPr>
      </w:pPr>
    </w:p>
    <w:p w:rsidR="00CB7286" w:rsidRPr="00C1470E" w:rsidRDefault="00CB7286" w:rsidP="00610884">
      <w:pPr>
        <w:pStyle w:val="NormalWeb"/>
        <w:spacing w:after="0" w:afterAutospacing="0" w:line="360" w:lineRule="auto"/>
        <w:jc w:val="both"/>
        <w:textAlignment w:val="top"/>
        <w:divId w:val="1001079551"/>
        <w:rPr>
          <w:rFonts w:ascii="Arial" w:hAnsi="Arial" w:cs="Arial"/>
          <w:b/>
          <w:sz w:val="20"/>
          <w:szCs w:val="20"/>
          <w:lang w:val="en-GB"/>
        </w:rPr>
      </w:pPr>
    </w:p>
    <w:p w:rsidR="00B42739" w:rsidRPr="00C1470E" w:rsidRDefault="00E44848" w:rsidP="00610884">
      <w:pPr>
        <w:pStyle w:val="NormalWeb"/>
        <w:spacing w:after="0" w:afterAutospacing="0" w:line="360" w:lineRule="auto"/>
        <w:jc w:val="both"/>
        <w:textAlignment w:val="top"/>
        <w:divId w:val="1001079551"/>
        <w:rPr>
          <w:rFonts w:ascii="Arial" w:hAnsi="Arial" w:cs="Arial"/>
          <w:b/>
          <w:sz w:val="20"/>
          <w:szCs w:val="20"/>
          <w:lang w:val="en-GB"/>
        </w:rPr>
      </w:pPr>
      <w:r w:rsidRPr="00C1470E">
        <w:rPr>
          <w:rFonts w:ascii="Arial" w:hAnsi="Arial" w:cs="Arial"/>
          <w:b/>
          <w:sz w:val="20"/>
          <w:szCs w:val="20"/>
          <w:lang w:val="en-GB"/>
        </w:rPr>
        <w:t>Eurasia Region</w:t>
      </w:r>
      <w:r w:rsidR="009E5984" w:rsidRPr="00C1470E">
        <w:rPr>
          <w:rStyle w:val="Appelnotedebasdep"/>
          <w:rFonts w:ascii="Arial" w:hAnsi="Arial" w:cs="Arial"/>
          <w:b/>
          <w:sz w:val="20"/>
          <w:szCs w:val="20"/>
          <w:lang w:val="en-GB"/>
        </w:rPr>
        <w:footnoteReference w:id="1"/>
      </w:r>
    </w:p>
    <w:p w:rsidR="00676D95" w:rsidRPr="00C1470E" w:rsidRDefault="00411F3D" w:rsidP="006775A3">
      <w:pPr>
        <w:pStyle w:val="NormalWeb"/>
        <w:spacing w:before="0" w:beforeAutospacing="0" w:line="360" w:lineRule="auto"/>
        <w:jc w:val="both"/>
        <w:textAlignment w:val="top"/>
        <w:divId w:val="1001079551"/>
        <w:rPr>
          <w:rStyle w:val="subtitle1"/>
          <w:sz w:val="20"/>
          <w:szCs w:val="20"/>
          <w:lang w:val="en-GB"/>
        </w:rPr>
      </w:pPr>
      <w:r w:rsidRPr="00C1470E">
        <w:rPr>
          <w:rStyle w:val="subtitle1"/>
          <w:sz w:val="20"/>
          <w:szCs w:val="20"/>
          <w:lang w:val="en-GB"/>
        </w:rPr>
        <w:t xml:space="preserve">In 2014, the Renault Group's market share rose by 0.7 points to 10.3%. Thanks to its sales in Russia and Turkey, the Group outperformed the market with a 5.4% drop in registrations, in a market that slumped by 11.5%. </w:t>
      </w:r>
    </w:p>
    <w:p w:rsidR="000A5D98" w:rsidRPr="00C1470E" w:rsidRDefault="00676D95" w:rsidP="00CB7286">
      <w:pPr>
        <w:pStyle w:val="NormalWeb"/>
        <w:numPr>
          <w:ilvl w:val="0"/>
          <w:numId w:val="12"/>
        </w:numPr>
        <w:spacing w:line="360" w:lineRule="auto"/>
        <w:ind w:left="357" w:hanging="357"/>
        <w:jc w:val="both"/>
        <w:textAlignment w:val="top"/>
        <w:divId w:val="1001079551"/>
        <w:rPr>
          <w:rFonts w:ascii="Arial" w:eastAsia="Times New Roman" w:hAnsi="Arial" w:cs="Arial"/>
          <w:sz w:val="20"/>
          <w:szCs w:val="20"/>
          <w:lang w:val="en-GB"/>
        </w:rPr>
      </w:pPr>
      <w:r w:rsidRPr="00C1470E">
        <w:rPr>
          <w:rStyle w:val="subtitle1"/>
          <w:b w:val="0"/>
          <w:sz w:val="20"/>
          <w:szCs w:val="20"/>
          <w:lang w:val="en-GB"/>
        </w:rPr>
        <w:t xml:space="preserve">In Russia, </w:t>
      </w:r>
      <w:r w:rsidR="00C1470E" w:rsidRPr="00C1470E">
        <w:rPr>
          <w:rStyle w:val="subtitle1"/>
          <w:b w:val="0"/>
          <w:sz w:val="20"/>
          <w:szCs w:val="20"/>
          <w:lang w:val="en-GB"/>
        </w:rPr>
        <w:t>its third</w:t>
      </w:r>
      <w:r w:rsidR="003417CC" w:rsidRPr="00C1470E">
        <w:rPr>
          <w:rStyle w:val="subtitle1"/>
          <w:b w:val="0"/>
          <w:sz w:val="20"/>
          <w:szCs w:val="20"/>
          <w:lang w:val="en-GB"/>
        </w:rPr>
        <w:t xml:space="preserve"> largest market, </w:t>
      </w:r>
      <w:r w:rsidR="007B0124" w:rsidRPr="00C1470E">
        <w:rPr>
          <w:rFonts w:ascii="Arial" w:eastAsia="Times New Roman" w:hAnsi="Arial" w:cs="Arial"/>
          <w:sz w:val="20"/>
          <w:szCs w:val="20"/>
          <w:lang w:val="en-GB"/>
        </w:rPr>
        <w:t xml:space="preserve">Renault, driven by the success of the Duster (once again the leading SUV on the market in 2014) and the successful launch of the New Logan and New </w:t>
      </w:r>
      <w:proofErr w:type="spellStart"/>
      <w:r w:rsidR="007B0124" w:rsidRPr="00C1470E">
        <w:rPr>
          <w:rFonts w:ascii="Arial" w:eastAsia="Times New Roman" w:hAnsi="Arial" w:cs="Arial"/>
          <w:sz w:val="20"/>
          <w:szCs w:val="20"/>
          <w:lang w:val="en-GB"/>
        </w:rPr>
        <w:t>Sandero</w:t>
      </w:r>
      <w:proofErr w:type="spellEnd"/>
      <w:r w:rsidR="007B0124" w:rsidRPr="00C1470E">
        <w:rPr>
          <w:rFonts w:ascii="Arial" w:eastAsia="Times New Roman" w:hAnsi="Arial" w:cs="Arial"/>
          <w:sz w:val="20"/>
          <w:szCs w:val="20"/>
          <w:lang w:val="en-GB"/>
        </w:rPr>
        <w:t xml:space="preserve">, posted a record market share of 7.9% (+0.3 points) </w:t>
      </w:r>
      <w:r w:rsidR="00CB7286" w:rsidRPr="00C1470E">
        <w:rPr>
          <w:rStyle w:val="subtitle1"/>
          <w:b w:val="0"/>
          <w:sz w:val="20"/>
          <w:szCs w:val="20"/>
          <w:lang w:val="en-GB"/>
        </w:rPr>
        <w:t>in a gloomy economic and monetary context.</w:t>
      </w:r>
    </w:p>
    <w:p w:rsidR="00692739" w:rsidRPr="00C1470E" w:rsidRDefault="007B0124" w:rsidP="006775A3">
      <w:pPr>
        <w:pStyle w:val="NormalWeb"/>
        <w:numPr>
          <w:ilvl w:val="0"/>
          <w:numId w:val="12"/>
        </w:numPr>
        <w:spacing w:line="360" w:lineRule="auto"/>
        <w:ind w:left="357" w:hanging="357"/>
        <w:jc w:val="both"/>
        <w:textAlignment w:val="top"/>
        <w:divId w:val="1001079551"/>
        <w:rPr>
          <w:rFonts w:ascii="Arial" w:eastAsia="Times New Roman" w:hAnsi="Arial" w:cs="Arial"/>
          <w:sz w:val="20"/>
          <w:szCs w:val="20"/>
          <w:lang w:val="en-GB"/>
        </w:rPr>
      </w:pPr>
      <w:r w:rsidRPr="00C1470E">
        <w:rPr>
          <w:rFonts w:ascii="Arial" w:eastAsia="Times New Roman" w:hAnsi="Arial" w:cs="Arial"/>
          <w:sz w:val="20"/>
          <w:szCs w:val="20"/>
          <w:lang w:val="en-GB"/>
        </w:rPr>
        <w:t xml:space="preserve">Renault also continued its expansion in the </w:t>
      </w:r>
      <w:r w:rsidRPr="00C1470E">
        <w:rPr>
          <w:rFonts w:ascii="Arial" w:eastAsia="Times New Roman" w:hAnsi="Arial" w:cs="Arial"/>
          <w:b/>
          <w:sz w:val="20"/>
          <w:szCs w:val="20"/>
          <w:lang w:val="en-GB"/>
        </w:rPr>
        <w:t>CIS</w:t>
      </w:r>
      <w:r w:rsidRPr="00C1470E">
        <w:rPr>
          <w:rFonts w:ascii="Arial" w:eastAsia="Times New Roman" w:hAnsi="Arial" w:cs="Arial"/>
          <w:sz w:val="20"/>
          <w:szCs w:val="20"/>
          <w:lang w:val="en-GB"/>
        </w:rPr>
        <w:t xml:space="preserve"> with volumes up 42.5% and a significant increase in market share at 5.9% (+1.7 points).</w:t>
      </w:r>
    </w:p>
    <w:p w:rsidR="009E5984" w:rsidRPr="00C1470E" w:rsidRDefault="009E5984" w:rsidP="006775A3">
      <w:pPr>
        <w:pStyle w:val="NormalWeb"/>
        <w:numPr>
          <w:ilvl w:val="0"/>
          <w:numId w:val="12"/>
        </w:numPr>
        <w:spacing w:line="360" w:lineRule="auto"/>
        <w:ind w:left="357" w:hanging="357"/>
        <w:jc w:val="both"/>
        <w:textAlignment w:val="top"/>
        <w:divId w:val="1001079551"/>
        <w:rPr>
          <w:rFonts w:ascii="Arial" w:eastAsia="Times New Roman" w:hAnsi="Arial" w:cs="Arial"/>
          <w:sz w:val="20"/>
          <w:szCs w:val="20"/>
          <w:lang w:val="en-GB"/>
        </w:rPr>
      </w:pPr>
      <w:r w:rsidRPr="00C1470E">
        <w:rPr>
          <w:rFonts w:ascii="Arial" w:eastAsia="Times New Roman" w:hAnsi="Arial" w:cs="Arial"/>
          <w:sz w:val="20"/>
          <w:szCs w:val="20"/>
          <w:lang w:val="en-GB"/>
        </w:rPr>
        <w:t xml:space="preserve">In </w:t>
      </w:r>
      <w:r w:rsidRPr="00C1470E">
        <w:rPr>
          <w:rFonts w:ascii="Arial" w:eastAsia="Times New Roman" w:hAnsi="Arial" w:cs="Arial"/>
          <w:b/>
          <w:sz w:val="20"/>
          <w:szCs w:val="20"/>
          <w:lang w:val="en-GB"/>
        </w:rPr>
        <w:t>Turkey</w:t>
      </w:r>
      <w:r w:rsidRPr="00C1470E">
        <w:rPr>
          <w:rFonts w:ascii="Arial" w:eastAsia="Times New Roman" w:hAnsi="Arial" w:cs="Arial"/>
          <w:sz w:val="20"/>
          <w:szCs w:val="20"/>
          <w:lang w:val="en-GB"/>
        </w:rPr>
        <w:t>, the market dropped 10%</w:t>
      </w:r>
      <w:proofErr w:type="gramStart"/>
      <w:r w:rsidRPr="00C1470E">
        <w:rPr>
          <w:rFonts w:ascii="Arial" w:eastAsia="Times New Roman" w:hAnsi="Arial" w:cs="Arial"/>
          <w:sz w:val="20"/>
          <w:szCs w:val="20"/>
          <w:lang w:val="en-GB"/>
        </w:rPr>
        <w:t>,</w:t>
      </w:r>
      <w:proofErr w:type="gramEnd"/>
      <w:r w:rsidRPr="00C1470E">
        <w:rPr>
          <w:rFonts w:ascii="Arial" w:eastAsia="Times New Roman" w:hAnsi="Arial" w:cs="Arial"/>
          <w:sz w:val="20"/>
          <w:szCs w:val="20"/>
          <w:lang w:val="en-GB"/>
        </w:rPr>
        <w:t xml:space="preserve"> however the Group gained 0.4 points of market share (17.4%). Renault is the country's </w:t>
      </w:r>
      <w:r w:rsidR="00C1470E" w:rsidRPr="00C1470E">
        <w:rPr>
          <w:rFonts w:ascii="Arial" w:eastAsia="Times New Roman" w:hAnsi="Arial" w:cs="Arial"/>
          <w:sz w:val="20"/>
          <w:szCs w:val="20"/>
          <w:lang w:val="en-GB"/>
        </w:rPr>
        <w:t>second largest</w:t>
      </w:r>
      <w:r w:rsidR="00207B09" w:rsidRPr="00C1470E">
        <w:rPr>
          <w:rFonts w:ascii="Arial" w:eastAsia="Times New Roman" w:hAnsi="Arial" w:cs="Arial"/>
          <w:sz w:val="20"/>
          <w:szCs w:val="20"/>
          <w:lang w:val="en-GB"/>
        </w:rPr>
        <w:t xml:space="preserve"> brand.</w:t>
      </w:r>
    </w:p>
    <w:p w:rsidR="00207B09" w:rsidRPr="00C1470E" w:rsidRDefault="00207B09" w:rsidP="00A27193">
      <w:pPr>
        <w:pStyle w:val="NormalWeb"/>
        <w:numPr>
          <w:ilvl w:val="0"/>
          <w:numId w:val="12"/>
        </w:numPr>
        <w:spacing w:line="360" w:lineRule="auto"/>
        <w:ind w:left="357" w:hanging="357"/>
        <w:jc w:val="both"/>
        <w:textAlignment w:val="top"/>
        <w:divId w:val="1001079551"/>
        <w:rPr>
          <w:rFonts w:ascii="Arial" w:eastAsia="Times New Roman" w:hAnsi="Arial" w:cs="Arial"/>
          <w:sz w:val="20"/>
          <w:szCs w:val="20"/>
          <w:lang w:val="en-GB"/>
        </w:rPr>
      </w:pPr>
      <w:r w:rsidRPr="00C1470E">
        <w:rPr>
          <w:rFonts w:ascii="Arial" w:eastAsia="Times New Roman" w:hAnsi="Arial" w:cs="Arial"/>
          <w:sz w:val="20"/>
          <w:szCs w:val="20"/>
          <w:lang w:val="en-GB"/>
        </w:rPr>
        <w:t xml:space="preserve">In </w:t>
      </w:r>
      <w:r w:rsidRPr="00C1470E">
        <w:rPr>
          <w:rFonts w:ascii="Arial" w:eastAsia="Times New Roman" w:hAnsi="Arial" w:cs="Arial"/>
          <w:b/>
          <w:bCs/>
          <w:sz w:val="20"/>
          <w:szCs w:val="20"/>
          <w:lang w:val="en-GB"/>
        </w:rPr>
        <w:t>Romania</w:t>
      </w:r>
      <w:r w:rsidRPr="00C1470E">
        <w:rPr>
          <w:rFonts w:ascii="Arial" w:eastAsia="Times New Roman" w:hAnsi="Arial" w:cs="Arial"/>
          <w:sz w:val="20"/>
          <w:szCs w:val="20"/>
          <w:lang w:val="en-GB"/>
        </w:rPr>
        <w:t>, Dacia, the national manufacturer, continues to be the market leader. Overall, the Renault group has a total of 38.6% of market share in the country, with sales up by 21.3%.</w:t>
      </w:r>
    </w:p>
    <w:p w:rsidR="00692739" w:rsidRPr="00C1470E" w:rsidRDefault="00E44848" w:rsidP="00610884">
      <w:pPr>
        <w:pStyle w:val="NormalWeb"/>
        <w:spacing w:after="0" w:afterAutospacing="0" w:line="360" w:lineRule="auto"/>
        <w:jc w:val="both"/>
        <w:textAlignment w:val="top"/>
        <w:divId w:val="1001079551"/>
        <w:rPr>
          <w:rFonts w:ascii="Arial" w:hAnsi="Arial" w:cs="Arial"/>
          <w:sz w:val="20"/>
          <w:szCs w:val="20"/>
          <w:lang w:val="en-GB"/>
        </w:rPr>
      </w:pPr>
      <w:r w:rsidRPr="00C1470E">
        <w:rPr>
          <w:rStyle w:val="subtitle1"/>
          <w:sz w:val="20"/>
          <w:szCs w:val="20"/>
          <w:lang w:val="en-GB"/>
        </w:rPr>
        <w:t>Americas region</w:t>
      </w:r>
    </w:p>
    <w:p w:rsidR="00692739" w:rsidRPr="00C1470E" w:rsidRDefault="00733316" w:rsidP="006775A3">
      <w:pPr>
        <w:pStyle w:val="NormalWeb"/>
        <w:spacing w:before="0" w:beforeAutospacing="0" w:line="360" w:lineRule="auto"/>
        <w:jc w:val="both"/>
        <w:textAlignment w:val="top"/>
        <w:divId w:val="1001079551"/>
        <w:rPr>
          <w:rStyle w:val="lev"/>
          <w:rFonts w:ascii="Arial" w:hAnsi="Arial" w:cs="Arial"/>
          <w:sz w:val="20"/>
          <w:szCs w:val="20"/>
          <w:lang w:val="en-GB"/>
        </w:rPr>
      </w:pPr>
      <w:r w:rsidRPr="00C1470E">
        <w:rPr>
          <w:rStyle w:val="subtitle1"/>
          <w:sz w:val="20"/>
          <w:szCs w:val="20"/>
          <w:lang w:val="en-GB"/>
        </w:rPr>
        <w:t xml:space="preserve">With 416,934 new car registrations, the Group lost 10.7% in volume, in a sluggish market that dropped by 7.5%, mainly due to the economic situation in Argentina. </w:t>
      </w:r>
      <w:r w:rsidR="00C1470E" w:rsidRPr="00C1470E">
        <w:rPr>
          <w:rStyle w:val="subtitle1"/>
          <w:sz w:val="20"/>
          <w:szCs w:val="20"/>
          <w:lang w:val="en-GB"/>
        </w:rPr>
        <w:t xml:space="preserve">The </w:t>
      </w:r>
      <w:r w:rsidR="00C1470E" w:rsidRPr="00C1470E">
        <w:rPr>
          <w:rStyle w:val="lev"/>
          <w:rFonts w:ascii="Arial" w:hAnsi="Arial" w:cs="Arial"/>
          <w:sz w:val="20"/>
          <w:szCs w:val="20"/>
          <w:lang w:val="en-GB"/>
        </w:rPr>
        <w:t>Renault</w:t>
      </w:r>
      <w:r w:rsidR="007B0124" w:rsidRPr="00C1470E">
        <w:rPr>
          <w:rStyle w:val="lev"/>
          <w:rFonts w:ascii="Arial" w:hAnsi="Arial" w:cs="Arial"/>
          <w:sz w:val="20"/>
          <w:szCs w:val="20"/>
          <w:lang w:val="en-GB"/>
        </w:rPr>
        <w:t xml:space="preserve"> group achieved a market share of 6.4% (down 0.2 points), thanks to its success in Brazil.</w:t>
      </w:r>
    </w:p>
    <w:p w:rsidR="000A5D98" w:rsidRPr="00C1470E" w:rsidRDefault="000A5D98" w:rsidP="00BB2E06">
      <w:pPr>
        <w:pStyle w:val="NormalWeb"/>
        <w:numPr>
          <w:ilvl w:val="0"/>
          <w:numId w:val="13"/>
        </w:numPr>
        <w:spacing w:line="360" w:lineRule="auto"/>
        <w:ind w:left="357" w:hanging="357"/>
        <w:jc w:val="both"/>
        <w:textAlignment w:val="top"/>
        <w:divId w:val="1001079551"/>
        <w:rPr>
          <w:rStyle w:val="subtitle1"/>
          <w:rFonts w:eastAsia="Times New Roman"/>
          <w:b w:val="0"/>
          <w:bCs w:val="0"/>
          <w:sz w:val="20"/>
          <w:szCs w:val="20"/>
          <w:lang w:val="en-GB"/>
        </w:rPr>
      </w:pPr>
      <w:r w:rsidRPr="00C1470E">
        <w:rPr>
          <w:rStyle w:val="subtitle1"/>
          <w:bCs w:val="0"/>
          <w:sz w:val="20"/>
          <w:szCs w:val="20"/>
          <w:lang w:val="en-GB"/>
        </w:rPr>
        <w:t>Brazil</w:t>
      </w:r>
      <w:r w:rsidRPr="00C1470E">
        <w:rPr>
          <w:rStyle w:val="subtitle1"/>
          <w:b w:val="0"/>
          <w:sz w:val="20"/>
          <w:szCs w:val="20"/>
          <w:lang w:val="en-GB"/>
        </w:rPr>
        <w:t xml:space="preserve"> continued to be the </w:t>
      </w:r>
      <w:r w:rsidR="00950D63" w:rsidRPr="00C1470E">
        <w:rPr>
          <w:rStyle w:val="subtitle1"/>
          <w:b w:val="0"/>
          <w:sz w:val="20"/>
          <w:szCs w:val="20"/>
          <w:lang w:val="en-GB"/>
        </w:rPr>
        <w:t>Group</w:t>
      </w:r>
      <w:r w:rsidRPr="00C1470E">
        <w:rPr>
          <w:rStyle w:val="subtitle1"/>
          <w:b w:val="0"/>
          <w:sz w:val="20"/>
          <w:szCs w:val="20"/>
          <w:lang w:val="en-GB"/>
        </w:rPr>
        <w:t xml:space="preserve">'s second largest market. Despite a 7% drop in MTM, Renault registered 237,187 new units (+0.3%). The brand's market share thus reached a record high at 7.1% (+0.5 points). </w:t>
      </w:r>
    </w:p>
    <w:p w:rsidR="00692739" w:rsidRPr="00C1470E" w:rsidRDefault="007B0124" w:rsidP="006775A3">
      <w:pPr>
        <w:pStyle w:val="NormalWeb"/>
        <w:numPr>
          <w:ilvl w:val="0"/>
          <w:numId w:val="13"/>
        </w:numPr>
        <w:spacing w:line="360" w:lineRule="auto"/>
        <w:ind w:left="357" w:hanging="357"/>
        <w:jc w:val="both"/>
        <w:textAlignment w:val="top"/>
        <w:divId w:val="1001079551"/>
        <w:rPr>
          <w:rFonts w:ascii="Arial" w:eastAsia="Times New Roman" w:hAnsi="Arial" w:cs="Arial"/>
          <w:sz w:val="20"/>
          <w:szCs w:val="20"/>
          <w:lang w:val="en-GB"/>
        </w:rPr>
      </w:pPr>
      <w:r w:rsidRPr="00C1470E">
        <w:rPr>
          <w:rFonts w:ascii="Arial" w:eastAsia="Times New Roman" w:hAnsi="Arial" w:cs="Arial"/>
          <w:sz w:val="20"/>
          <w:szCs w:val="20"/>
          <w:lang w:val="en-GB"/>
        </w:rPr>
        <w:t xml:space="preserve">In </w:t>
      </w:r>
      <w:r w:rsidRPr="00C1470E">
        <w:rPr>
          <w:rFonts w:ascii="Arial" w:eastAsia="Times New Roman" w:hAnsi="Arial" w:cs="Arial"/>
          <w:b/>
          <w:bCs/>
          <w:sz w:val="20"/>
          <w:szCs w:val="20"/>
          <w:lang w:val="en-GB"/>
        </w:rPr>
        <w:t>Argentina</w:t>
      </w:r>
      <w:r w:rsidRPr="00C1470E">
        <w:rPr>
          <w:rFonts w:ascii="Arial" w:eastAsia="Times New Roman" w:hAnsi="Arial" w:cs="Arial"/>
          <w:sz w:val="20"/>
          <w:szCs w:val="20"/>
          <w:lang w:val="en-GB"/>
        </w:rPr>
        <w:t>, in a difficult local economic context, Renault chose to limit its exposure to the peso and consequently the quantity of its imports. This affected registrations, which fell 39.8% compared with 2013, as well as market share, which slipped 2.5 points to 12.9%.</w:t>
      </w:r>
    </w:p>
    <w:p w:rsidR="00207B09" w:rsidRPr="00C1470E" w:rsidRDefault="00207B09" w:rsidP="006775A3">
      <w:pPr>
        <w:pStyle w:val="NormalWeb"/>
        <w:numPr>
          <w:ilvl w:val="0"/>
          <w:numId w:val="13"/>
        </w:numPr>
        <w:spacing w:line="360" w:lineRule="auto"/>
        <w:ind w:left="357" w:hanging="357"/>
        <w:jc w:val="both"/>
        <w:textAlignment w:val="top"/>
        <w:divId w:val="1001079551"/>
        <w:rPr>
          <w:rFonts w:ascii="Arial" w:eastAsia="Times New Roman" w:hAnsi="Arial" w:cs="Arial"/>
          <w:sz w:val="20"/>
          <w:szCs w:val="20"/>
          <w:lang w:val="en-GB"/>
        </w:rPr>
      </w:pPr>
      <w:r w:rsidRPr="00C1470E">
        <w:rPr>
          <w:rFonts w:ascii="Arial" w:eastAsia="Times New Roman" w:hAnsi="Arial" w:cs="Arial"/>
          <w:sz w:val="20"/>
          <w:szCs w:val="20"/>
          <w:lang w:val="en-GB"/>
        </w:rPr>
        <w:t xml:space="preserve">In </w:t>
      </w:r>
      <w:r w:rsidRPr="00C1470E">
        <w:rPr>
          <w:rFonts w:ascii="Arial" w:eastAsia="Times New Roman" w:hAnsi="Arial" w:cs="Arial"/>
          <w:b/>
          <w:bCs/>
          <w:sz w:val="20"/>
          <w:szCs w:val="20"/>
          <w:lang w:val="en-GB"/>
        </w:rPr>
        <w:t>Colombia</w:t>
      </w:r>
      <w:r w:rsidRPr="00C1470E">
        <w:rPr>
          <w:rFonts w:ascii="Arial" w:eastAsia="Times New Roman" w:hAnsi="Arial" w:cs="Arial"/>
          <w:sz w:val="20"/>
          <w:szCs w:val="20"/>
          <w:lang w:val="en-GB"/>
        </w:rPr>
        <w:t>, Renault is the second largest brand on the market and posted record sales with 50,362 units (+13.5%) and a market share of 16.6% (+0.5 points).</w:t>
      </w:r>
    </w:p>
    <w:p w:rsidR="00692739" w:rsidRPr="00C1470E" w:rsidRDefault="00E44848" w:rsidP="00610884">
      <w:pPr>
        <w:pStyle w:val="NormalWeb"/>
        <w:spacing w:before="0" w:beforeAutospacing="0" w:after="0" w:afterAutospacing="0" w:line="360" w:lineRule="auto"/>
        <w:jc w:val="both"/>
        <w:textAlignment w:val="top"/>
        <w:divId w:val="1001079551"/>
        <w:rPr>
          <w:rFonts w:ascii="Arial" w:hAnsi="Arial" w:cs="Arial"/>
          <w:sz w:val="20"/>
          <w:szCs w:val="20"/>
          <w:lang w:val="en-GB"/>
        </w:rPr>
      </w:pPr>
      <w:r w:rsidRPr="00C1470E">
        <w:rPr>
          <w:rStyle w:val="subtitle1"/>
          <w:sz w:val="20"/>
          <w:szCs w:val="20"/>
          <w:lang w:val="en-GB"/>
        </w:rPr>
        <w:t>Africa, Middle East and India Region</w:t>
      </w:r>
      <w:r w:rsidR="009E5984" w:rsidRPr="00C1470E">
        <w:rPr>
          <w:rStyle w:val="Appelnotedebasdep"/>
          <w:rFonts w:ascii="Arial" w:hAnsi="Arial" w:cs="Arial"/>
          <w:b/>
          <w:bCs/>
          <w:sz w:val="20"/>
          <w:szCs w:val="20"/>
          <w:lang w:val="en-GB"/>
        </w:rPr>
        <w:footnoteReference w:id="2"/>
      </w:r>
      <w:r w:rsidR="007B0124" w:rsidRPr="00C1470E">
        <w:rPr>
          <w:rStyle w:val="subtitle1"/>
          <w:sz w:val="20"/>
          <w:szCs w:val="20"/>
          <w:lang w:val="en-GB"/>
        </w:rPr>
        <w:t> </w:t>
      </w:r>
    </w:p>
    <w:p w:rsidR="00D11EB8" w:rsidRPr="00C1470E" w:rsidRDefault="00325D30" w:rsidP="00221DD8">
      <w:pPr>
        <w:pStyle w:val="NormalWeb"/>
        <w:spacing w:before="0" w:beforeAutospacing="0" w:line="360" w:lineRule="auto"/>
        <w:jc w:val="both"/>
        <w:textAlignment w:val="top"/>
        <w:divId w:val="1001079551"/>
        <w:rPr>
          <w:rStyle w:val="subtitle1"/>
          <w:sz w:val="20"/>
          <w:szCs w:val="20"/>
          <w:lang w:val="en-GB"/>
        </w:rPr>
      </w:pPr>
      <w:r w:rsidRPr="00C1470E">
        <w:rPr>
          <w:rStyle w:val="subtitle1"/>
          <w:sz w:val="20"/>
          <w:szCs w:val="20"/>
          <w:lang w:val="en-GB"/>
        </w:rPr>
        <w:t>With 308,012 new car registrations, the Group's volumes dropped 9.2% in 2014 in the region and its market share stood at 3.8% (-0.7 points). Some of the Group's key markets, such as North Africa (-13.2%) and India (-0.8%) declined.</w:t>
      </w:r>
    </w:p>
    <w:p w:rsidR="004968A7" w:rsidRPr="00C1470E" w:rsidRDefault="004968A7" w:rsidP="001525D7">
      <w:pPr>
        <w:pStyle w:val="NormalWeb"/>
        <w:numPr>
          <w:ilvl w:val="0"/>
          <w:numId w:val="14"/>
        </w:numPr>
        <w:spacing w:before="0" w:beforeAutospacing="0" w:line="360" w:lineRule="auto"/>
        <w:ind w:left="357" w:hanging="357"/>
        <w:jc w:val="both"/>
        <w:textAlignment w:val="top"/>
        <w:divId w:val="1001079551"/>
        <w:rPr>
          <w:rFonts w:ascii="Arial" w:eastAsia="Times New Roman" w:hAnsi="Arial" w:cs="Arial"/>
          <w:sz w:val="20"/>
          <w:szCs w:val="20"/>
          <w:lang w:val="en-GB"/>
        </w:rPr>
      </w:pPr>
      <w:proofErr w:type="gramStart"/>
      <w:r w:rsidRPr="00C1470E">
        <w:rPr>
          <w:rFonts w:ascii="Arial" w:eastAsia="Times New Roman" w:hAnsi="Arial" w:cs="Arial"/>
          <w:sz w:val="20"/>
          <w:szCs w:val="20"/>
          <w:lang w:val="en-GB"/>
        </w:rPr>
        <w:t>the</w:t>
      </w:r>
      <w:proofErr w:type="gramEnd"/>
      <w:r w:rsidRPr="00C1470E">
        <w:rPr>
          <w:rFonts w:ascii="Arial" w:eastAsia="Times New Roman" w:hAnsi="Arial" w:cs="Arial"/>
          <w:sz w:val="20"/>
          <w:szCs w:val="20"/>
          <w:lang w:val="en-GB"/>
        </w:rPr>
        <w:t xml:space="preserve"> Group asserted itself as the leader in the </w:t>
      </w:r>
      <w:r w:rsidRPr="00C1470E">
        <w:rPr>
          <w:rFonts w:ascii="Arial" w:eastAsia="Times New Roman" w:hAnsi="Arial" w:cs="Arial"/>
          <w:b/>
          <w:sz w:val="20"/>
          <w:szCs w:val="20"/>
          <w:lang w:val="en-GB"/>
        </w:rPr>
        <w:t xml:space="preserve">Algerian </w:t>
      </w:r>
      <w:r w:rsidRPr="00C1470E">
        <w:rPr>
          <w:rFonts w:ascii="Arial" w:eastAsia="Times New Roman" w:hAnsi="Arial" w:cs="Arial"/>
          <w:bCs/>
          <w:sz w:val="20"/>
          <w:szCs w:val="20"/>
          <w:lang w:val="en-GB"/>
        </w:rPr>
        <w:t xml:space="preserve">market </w:t>
      </w:r>
      <w:r w:rsidR="00EE2AF3" w:rsidRPr="00C1470E">
        <w:rPr>
          <w:rFonts w:ascii="Arial" w:eastAsia="Times New Roman" w:hAnsi="Arial" w:cs="Arial"/>
          <w:sz w:val="20"/>
          <w:szCs w:val="20"/>
          <w:lang w:val="en-GB"/>
        </w:rPr>
        <w:t xml:space="preserve">with 26.9% of </w:t>
      </w:r>
      <w:r w:rsidR="00C1470E" w:rsidRPr="00C1470E">
        <w:rPr>
          <w:rFonts w:ascii="Arial" w:eastAsia="Times New Roman" w:hAnsi="Arial" w:cs="Arial"/>
          <w:sz w:val="20"/>
          <w:szCs w:val="20"/>
          <w:lang w:val="en-GB"/>
        </w:rPr>
        <w:t xml:space="preserve">market </w:t>
      </w:r>
      <w:r w:rsidR="00C1470E" w:rsidRPr="00C1470E">
        <w:rPr>
          <w:rFonts w:ascii="Arial" w:eastAsia="Times New Roman" w:hAnsi="Arial" w:cs="Arial"/>
          <w:b/>
          <w:sz w:val="20"/>
          <w:szCs w:val="20"/>
          <w:lang w:val="en-GB"/>
        </w:rPr>
        <w:t>share</w:t>
      </w:r>
      <w:r w:rsidR="00EE2AF3" w:rsidRPr="00C1470E">
        <w:rPr>
          <w:rFonts w:ascii="Arial" w:eastAsia="Times New Roman" w:hAnsi="Arial" w:cs="Arial"/>
          <w:sz w:val="20"/>
          <w:szCs w:val="20"/>
          <w:lang w:val="en-GB"/>
        </w:rPr>
        <w:t>, up 0.7 points, in a market that dropped by 19.8%. This performance placed the Renault and Dacia brands</w:t>
      </w:r>
      <w:r w:rsidRPr="00C1470E">
        <w:rPr>
          <w:rFonts w:ascii="Arial" w:eastAsia="Times New Roman" w:hAnsi="Arial" w:cs="Arial"/>
          <w:sz w:val="20"/>
          <w:szCs w:val="20"/>
          <w:lang w:val="en-GB"/>
        </w:rPr>
        <w:t xml:space="preserve"> in first and third position. The Renault plant in Oran, inaugurated in November 2014, will reinforce Renault's position as a key player on the Algerian automotive market.</w:t>
      </w:r>
    </w:p>
    <w:p w:rsidR="004968A7" w:rsidRPr="00C1470E" w:rsidRDefault="004968A7" w:rsidP="006E5446">
      <w:pPr>
        <w:pStyle w:val="NormalWeb"/>
        <w:numPr>
          <w:ilvl w:val="0"/>
          <w:numId w:val="14"/>
        </w:numPr>
        <w:spacing w:before="0" w:beforeAutospacing="0" w:line="360" w:lineRule="auto"/>
        <w:ind w:left="357" w:hanging="357"/>
        <w:jc w:val="both"/>
        <w:textAlignment w:val="top"/>
        <w:divId w:val="1001079551"/>
        <w:rPr>
          <w:rFonts w:ascii="Arial" w:eastAsia="Times New Roman" w:hAnsi="Arial" w:cs="Arial"/>
          <w:sz w:val="20"/>
          <w:szCs w:val="20"/>
          <w:lang w:val="en-GB"/>
        </w:rPr>
      </w:pPr>
      <w:r w:rsidRPr="00C1470E">
        <w:rPr>
          <w:rFonts w:ascii="Arial" w:eastAsia="Times New Roman" w:hAnsi="Arial" w:cs="Arial"/>
          <w:sz w:val="20"/>
          <w:szCs w:val="20"/>
          <w:lang w:val="en-GB"/>
        </w:rPr>
        <w:t xml:space="preserve">In </w:t>
      </w:r>
      <w:r w:rsidRPr="00C1470E">
        <w:rPr>
          <w:rFonts w:ascii="Arial" w:eastAsia="Times New Roman" w:hAnsi="Arial" w:cs="Arial"/>
          <w:b/>
          <w:bCs/>
          <w:sz w:val="20"/>
          <w:szCs w:val="20"/>
          <w:lang w:val="en-GB"/>
        </w:rPr>
        <w:t>Morocco</w:t>
      </w:r>
      <w:r w:rsidRPr="00C1470E">
        <w:rPr>
          <w:rStyle w:val="lev"/>
          <w:rFonts w:ascii="Arial" w:eastAsia="Times New Roman" w:hAnsi="Arial" w:cs="Arial"/>
          <w:sz w:val="20"/>
          <w:szCs w:val="20"/>
          <w:lang w:val="en-GB"/>
        </w:rPr>
        <w:t xml:space="preserve"> </w:t>
      </w:r>
      <w:r w:rsidRPr="00C1470E">
        <w:rPr>
          <w:rFonts w:ascii="Arial" w:eastAsia="Times New Roman" w:hAnsi="Arial" w:cs="Arial"/>
          <w:sz w:val="20"/>
          <w:szCs w:val="20"/>
          <w:lang w:val="en-GB"/>
        </w:rPr>
        <w:t>where the market is stable (up 1.1%), the Group is the market leader with a 37% market share. Once again, its brands Dacia and Renault topped sales with 45,174 vehicles sold.</w:t>
      </w:r>
    </w:p>
    <w:p w:rsidR="001C4E89" w:rsidRPr="00C1470E" w:rsidRDefault="001C4E89" w:rsidP="0084114E">
      <w:pPr>
        <w:pStyle w:val="NormalWeb"/>
        <w:numPr>
          <w:ilvl w:val="0"/>
          <w:numId w:val="14"/>
        </w:numPr>
        <w:spacing w:before="0" w:beforeAutospacing="0" w:line="360" w:lineRule="auto"/>
        <w:ind w:left="357" w:hanging="357"/>
        <w:jc w:val="both"/>
        <w:textAlignment w:val="top"/>
        <w:divId w:val="1001079551"/>
        <w:rPr>
          <w:rFonts w:ascii="Arial" w:eastAsia="Times New Roman" w:hAnsi="Arial" w:cs="Arial"/>
          <w:sz w:val="20"/>
          <w:szCs w:val="20"/>
          <w:lang w:val="en-GB"/>
        </w:rPr>
      </w:pPr>
      <w:r w:rsidRPr="00C1470E">
        <w:rPr>
          <w:rFonts w:ascii="Arial" w:eastAsia="Times New Roman" w:hAnsi="Arial" w:cs="Arial"/>
          <w:sz w:val="20"/>
          <w:szCs w:val="20"/>
          <w:lang w:val="en-GB"/>
        </w:rPr>
        <w:t xml:space="preserve">In </w:t>
      </w:r>
      <w:r w:rsidRPr="00C1470E">
        <w:rPr>
          <w:rFonts w:ascii="Arial" w:eastAsia="Times New Roman" w:hAnsi="Arial" w:cs="Arial"/>
          <w:b/>
          <w:bCs/>
          <w:sz w:val="20"/>
          <w:szCs w:val="20"/>
          <w:lang w:val="en-GB"/>
        </w:rPr>
        <w:t>India</w:t>
      </w:r>
      <w:r w:rsidRPr="00C1470E">
        <w:rPr>
          <w:rFonts w:ascii="Arial" w:eastAsia="Times New Roman" w:hAnsi="Arial" w:cs="Arial"/>
          <w:sz w:val="20"/>
          <w:szCs w:val="20"/>
          <w:lang w:val="en-GB"/>
        </w:rPr>
        <w:t>, Renault remained the leading European brand with a 1.5% market share and 44,849 new registrations, despite a trough in its product cycle.</w:t>
      </w:r>
    </w:p>
    <w:p w:rsidR="00C51AC0" w:rsidRPr="00C1470E" w:rsidRDefault="007B0124" w:rsidP="00610884">
      <w:pPr>
        <w:pStyle w:val="NormalWeb"/>
        <w:spacing w:after="0" w:afterAutospacing="0" w:line="360" w:lineRule="auto"/>
        <w:jc w:val="both"/>
        <w:textAlignment w:val="top"/>
        <w:divId w:val="1001079551"/>
        <w:rPr>
          <w:rStyle w:val="subtitle1"/>
          <w:sz w:val="20"/>
          <w:szCs w:val="20"/>
          <w:lang w:val="en-GB"/>
        </w:rPr>
      </w:pPr>
      <w:r w:rsidRPr="00C1470E">
        <w:rPr>
          <w:rStyle w:val="subtitle1"/>
          <w:sz w:val="20"/>
          <w:szCs w:val="20"/>
          <w:lang w:val="en-GB"/>
        </w:rPr>
        <w:t>Asia-Pacific region</w:t>
      </w:r>
    </w:p>
    <w:p w:rsidR="00692739" w:rsidRPr="00C1470E" w:rsidRDefault="00610884" w:rsidP="00563149">
      <w:pPr>
        <w:pStyle w:val="NormalWeb"/>
        <w:spacing w:before="0" w:beforeAutospacing="0" w:line="360" w:lineRule="auto"/>
        <w:jc w:val="both"/>
        <w:textAlignment w:val="top"/>
        <w:divId w:val="1001079551"/>
        <w:rPr>
          <w:rFonts w:ascii="Arial" w:hAnsi="Arial" w:cs="Arial"/>
          <w:sz w:val="20"/>
          <w:szCs w:val="20"/>
          <w:lang w:val="en-GB"/>
        </w:rPr>
      </w:pPr>
      <w:r w:rsidRPr="00C1470E">
        <w:rPr>
          <w:rStyle w:val="subtitle1"/>
          <w:sz w:val="20"/>
          <w:szCs w:val="20"/>
          <w:lang w:val="en-GB"/>
        </w:rPr>
        <w:t>With 133,172 units, the Group's volumes took off, rising 23% in a market that rose 4.6%. Renault Samsung Motors' Revival Plan in Korea drives growth.</w:t>
      </w:r>
    </w:p>
    <w:p w:rsidR="00C961A6" w:rsidRPr="00C1470E" w:rsidRDefault="007B0124" w:rsidP="001525D7">
      <w:pPr>
        <w:pStyle w:val="Paragraphedeliste"/>
        <w:numPr>
          <w:ilvl w:val="0"/>
          <w:numId w:val="16"/>
        </w:numPr>
        <w:spacing w:before="100" w:beforeAutospacing="1" w:after="100" w:afterAutospacing="1" w:line="360" w:lineRule="auto"/>
        <w:ind w:left="357" w:hanging="357"/>
        <w:jc w:val="both"/>
        <w:textAlignment w:val="top"/>
        <w:divId w:val="1001079551"/>
        <w:rPr>
          <w:rFonts w:ascii="Arial" w:eastAsia="Times New Roman" w:hAnsi="Arial" w:cs="Arial"/>
          <w:sz w:val="20"/>
          <w:szCs w:val="20"/>
          <w:lang w:val="en-GB"/>
        </w:rPr>
      </w:pPr>
      <w:r w:rsidRPr="00C1470E">
        <w:rPr>
          <w:rFonts w:ascii="Arial" w:eastAsia="Times New Roman" w:hAnsi="Arial" w:cs="Arial"/>
          <w:sz w:val="20"/>
          <w:szCs w:val="20"/>
          <w:lang w:val="en-GB"/>
        </w:rPr>
        <w:t xml:space="preserve">In </w:t>
      </w:r>
      <w:r w:rsidRPr="00C1470E">
        <w:rPr>
          <w:rFonts w:ascii="Arial" w:eastAsia="Times New Roman" w:hAnsi="Arial" w:cs="Arial"/>
          <w:b/>
          <w:bCs/>
          <w:sz w:val="20"/>
          <w:szCs w:val="20"/>
          <w:lang w:val="en-GB"/>
        </w:rPr>
        <w:t>Korea</w:t>
      </w:r>
      <w:r w:rsidRPr="00C1470E">
        <w:rPr>
          <w:rFonts w:ascii="Arial" w:eastAsia="Times New Roman" w:hAnsi="Arial" w:cs="Arial"/>
          <w:sz w:val="20"/>
          <w:szCs w:val="20"/>
          <w:lang w:val="en-GB"/>
        </w:rPr>
        <w:t xml:space="preserve">, </w:t>
      </w:r>
      <w:r w:rsidRPr="00C1470E">
        <w:rPr>
          <w:rFonts w:ascii="Arial" w:hAnsi="Arial" w:cs="Arial"/>
          <w:sz w:val="20"/>
          <w:szCs w:val="20"/>
          <w:lang w:val="en-GB"/>
        </w:rPr>
        <w:t>in</w:t>
      </w:r>
      <w:r w:rsidRPr="00C1470E">
        <w:rPr>
          <w:rFonts w:ascii="Arial" w:eastAsia="Times New Roman" w:hAnsi="Arial" w:cs="Arial"/>
          <w:sz w:val="20"/>
          <w:szCs w:val="20"/>
          <w:lang w:val="en-GB"/>
        </w:rPr>
        <w:t xml:space="preserve"> a private car market that rose 9%, Renault Samsung Motors recorded a further sharp increase in volumes (+33.3%) and market share (+1 point to 5.7%) notably due to the confirmed success of the QM3, which has sold nearly 20,000 units since it was put on the market in late 2013. </w:t>
      </w:r>
    </w:p>
    <w:p w:rsidR="002322A6" w:rsidRPr="00C1470E" w:rsidRDefault="00C961A6" w:rsidP="00B06E99">
      <w:pPr>
        <w:pStyle w:val="Paragraphedeliste"/>
        <w:numPr>
          <w:ilvl w:val="0"/>
          <w:numId w:val="16"/>
        </w:numPr>
        <w:spacing w:before="100" w:beforeAutospacing="1" w:after="100" w:afterAutospacing="1" w:line="360" w:lineRule="auto"/>
        <w:ind w:left="357" w:hanging="357"/>
        <w:jc w:val="both"/>
        <w:textAlignment w:val="top"/>
        <w:divId w:val="1001079551"/>
        <w:rPr>
          <w:rFonts w:ascii="Arial" w:eastAsia="Times New Roman" w:hAnsi="Arial" w:cs="Arial"/>
          <w:sz w:val="20"/>
          <w:szCs w:val="20"/>
          <w:lang w:val="en-GB"/>
        </w:rPr>
      </w:pPr>
      <w:r w:rsidRPr="00C1470E">
        <w:rPr>
          <w:rFonts w:ascii="Arial" w:eastAsia="Times New Roman" w:hAnsi="Arial" w:cs="Arial"/>
          <w:sz w:val="20"/>
          <w:szCs w:val="20"/>
          <w:lang w:val="en-GB"/>
        </w:rPr>
        <w:t xml:space="preserve">In </w:t>
      </w:r>
      <w:r w:rsidRPr="00C1470E">
        <w:rPr>
          <w:rFonts w:ascii="Arial" w:eastAsia="Times New Roman" w:hAnsi="Arial" w:cs="Arial"/>
          <w:b/>
          <w:bCs/>
          <w:sz w:val="20"/>
          <w:szCs w:val="20"/>
          <w:lang w:val="en-GB"/>
        </w:rPr>
        <w:t>China</w:t>
      </w:r>
      <w:r w:rsidRPr="00C1470E">
        <w:rPr>
          <w:rFonts w:ascii="Arial" w:eastAsia="Times New Roman" w:hAnsi="Arial" w:cs="Arial"/>
          <w:sz w:val="20"/>
          <w:szCs w:val="20"/>
          <w:lang w:val="en-GB"/>
        </w:rPr>
        <w:t xml:space="preserve">, </w:t>
      </w:r>
      <w:r w:rsidRPr="00C1470E">
        <w:rPr>
          <w:rFonts w:ascii="Arial" w:eastAsia="Times New Roman" w:hAnsi="Arial" w:cs="Arial"/>
          <w:bCs/>
          <w:sz w:val="20"/>
          <w:szCs w:val="20"/>
          <w:lang w:val="en-GB"/>
        </w:rPr>
        <w:t>the</w:t>
      </w:r>
      <w:r w:rsidRPr="00C1470E">
        <w:rPr>
          <w:rFonts w:ascii="Arial" w:eastAsia="Times New Roman" w:hAnsi="Arial" w:cs="Arial"/>
          <w:sz w:val="20"/>
          <w:szCs w:val="20"/>
          <w:lang w:val="en-GB"/>
        </w:rPr>
        <w:t xml:space="preserve"> Group recorded a total of 34,067 new registrations. A year after the creation of </w:t>
      </w:r>
      <w:proofErr w:type="spellStart"/>
      <w:r w:rsidRPr="00C1470E">
        <w:rPr>
          <w:rFonts w:ascii="Arial" w:eastAsia="Times New Roman" w:hAnsi="Arial" w:cs="Arial"/>
          <w:sz w:val="20"/>
          <w:szCs w:val="20"/>
          <w:lang w:val="en-GB"/>
        </w:rPr>
        <w:t>Dongfeng</w:t>
      </w:r>
      <w:proofErr w:type="spellEnd"/>
      <w:r w:rsidRPr="00C1470E">
        <w:rPr>
          <w:rFonts w:ascii="Arial" w:eastAsia="Times New Roman" w:hAnsi="Arial" w:cs="Arial"/>
          <w:sz w:val="20"/>
          <w:szCs w:val="20"/>
          <w:lang w:val="en-GB"/>
        </w:rPr>
        <w:t xml:space="preserve"> Renault Automotive Company (DRAC), its joint venture with </w:t>
      </w:r>
      <w:proofErr w:type="spellStart"/>
      <w:r w:rsidRPr="00C1470E">
        <w:rPr>
          <w:rFonts w:ascii="Arial" w:eastAsia="Times New Roman" w:hAnsi="Arial" w:cs="Arial"/>
          <w:sz w:val="20"/>
          <w:szCs w:val="20"/>
          <w:lang w:val="en-GB"/>
        </w:rPr>
        <w:t>Dongfeng</w:t>
      </w:r>
      <w:proofErr w:type="spellEnd"/>
      <w:r w:rsidRPr="00C1470E">
        <w:rPr>
          <w:rFonts w:ascii="Arial" w:eastAsia="Times New Roman" w:hAnsi="Arial" w:cs="Arial"/>
          <w:sz w:val="20"/>
          <w:szCs w:val="20"/>
          <w:lang w:val="en-GB"/>
        </w:rPr>
        <w:t>, Renault is gearing up for the successful launch of its first locally manufactured vehicles in 2016.</w:t>
      </w:r>
    </w:p>
    <w:p w:rsidR="007B0124" w:rsidRPr="00C1470E" w:rsidRDefault="007B0124" w:rsidP="00C51AC0">
      <w:pPr>
        <w:pStyle w:val="NormalWeb"/>
        <w:spacing w:line="360" w:lineRule="auto"/>
        <w:jc w:val="both"/>
        <w:textAlignment w:val="top"/>
        <w:divId w:val="1001079551"/>
        <w:rPr>
          <w:rStyle w:val="subtitle1"/>
          <w:sz w:val="20"/>
          <w:szCs w:val="20"/>
          <w:lang w:val="en-GB"/>
        </w:rPr>
      </w:pPr>
      <w:r w:rsidRPr="00C1470E">
        <w:rPr>
          <w:rStyle w:val="subtitle1"/>
          <w:sz w:val="20"/>
          <w:szCs w:val="20"/>
          <w:lang w:val="en-GB"/>
        </w:rPr>
        <w:t xml:space="preserve">2015 sales outlook for the Renault group </w:t>
      </w:r>
    </w:p>
    <w:p w:rsidR="00F44D57" w:rsidRPr="00C1470E" w:rsidRDefault="00C51AC0" w:rsidP="009D3E5B">
      <w:pPr>
        <w:pStyle w:val="NormalWeb"/>
        <w:spacing w:line="360" w:lineRule="auto"/>
        <w:jc w:val="both"/>
        <w:textAlignment w:val="top"/>
        <w:divId w:val="1001079551"/>
        <w:rPr>
          <w:rFonts w:ascii="Arial" w:hAnsi="Arial" w:cs="Arial"/>
          <w:sz w:val="20"/>
          <w:szCs w:val="20"/>
          <w:lang w:val="en-GB"/>
        </w:rPr>
      </w:pPr>
      <w:r w:rsidRPr="00C1470E">
        <w:rPr>
          <w:rFonts w:ascii="Arial" w:hAnsi="Arial" w:cs="Arial"/>
          <w:sz w:val="20"/>
          <w:szCs w:val="20"/>
          <w:lang w:val="en-GB"/>
        </w:rPr>
        <w:t xml:space="preserve">In 2015, the global market is expected to record modest growth of 2% compared with 2014. The European market is also expected to grow by 1 to 2%, with France remaining stable. </w:t>
      </w:r>
    </w:p>
    <w:p w:rsidR="00692739" w:rsidRPr="00C1470E" w:rsidRDefault="004A4E00" w:rsidP="005679CF">
      <w:pPr>
        <w:pStyle w:val="NormalWeb"/>
        <w:spacing w:line="360" w:lineRule="auto"/>
        <w:jc w:val="both"/>
        <w:textAlignment w:val="top"/>
        <w:divId w:val="1001079551"/>
        <w:rPr>
          <w:rFonts w:ascii="Arial" w:hAnsi="Arial" w:cs="Arial"/>
          <w:i/>
          <w:iCs/>
          <w:sz w:val="20"/>
          <w:szCs w:val="20"/>
          <w:lang w:val="en-GB"/>
        </w:rPr>
      </w:pPr>
      <w:r w:rsidRPr="00C1470E">
        <w:rPr>
          <w:rFonts w:ascii="Arial" w:hAnsi="Arial" w:cs="Arial"/>
          <w:sz w:val="20"/>
          <w:szCs w:val="20"/>
          <w:lang w:val="en-GB"/>
        </w:rPr>
        <w:t>“</w:t>
      </w:r>
      <w:r w:rsidR="007B0124" w:rsidRPr="00C1470E">
        <w:rPr>
          <w:rStyle w:val="Accentuation"/>
          <w:rFonts w:ascii="Arial" w:hAnsi="Arial" w:cs="Arial"/>
          <w:sz w:val="20"/>
          <w:szCs w:val="20"/>
          <w:lang w:val="en-GB"/>
        </w:rPr>
        <w:t>In 2015, in a market context that remains uncertain, we will continue to move ahead with our Medium-Term Plan, Renault Drive the Change. We are forecasting an increase in our global volumes, the strengthening of our position in Europe and improvements in our positions on our main emerging markets.</w:t>
      </w:r>
      <w:r w:rsidRPr="00C1470E">
        <w:rPr>
          <w:rStyle w:val="Accentuation"/>
          <w:rFonts w:ascii="Arial" w:hAnsi="Arial" w:cs="Arial"/>
          <w:sz w:val="20"/>
          <w:szCs w:val="20"/>
          <w:lang w:val="en-GB"/>
        </w:rPr>
        <w:t xml:space="preserve"> </w:t>
      </w:r>
      <w:r w:rsidR="007B0124" w:rsidRPr="00C1470E">
        <w:rPr>
          <w:rFonts w:ascii="Arial" w:hAnsi="Arial" w:cs="Arial"/>
          <w:i/>
          <w:iCs/>
          <w:sz w:val="20"/>
          <w:szCs w:val="20"/>
          <w:lang w:val="en-GB"/>
        </w:rPr>
        <w:t>Our growth will be sustained by an accelerated product plan, with five new models</w:t>
      </w:r>
      <w:r w:rsidR="007B0124" w:rsidRPr="00C1470E">
        <w:rPr>
          <w:rStyle w:val="Accentuation"/>
          <w:rFonts w:ascii="Arial" w:hAnsi="Arial" w:cs="Arial"/>
          <w:sz w:val="20"/>
          <w:szCs w:val="20"/>
          <w:lang w:val="en-GB"/>
        </w:rPr>
        <w:t>"</w:t>
      </w:r>
      <w:r w:rsidR="007B0124" w:rsidRPr="00C1470E">
        <w:rPr>
          <w:rFonts w:ascii="Arial" w:hAnsi="Arial" w:cs="Arial"/>
          <w:sz w:val="20"/>
          <w:szCs w:val="20"/>
          <w:lang w:val="en-GB"/>
        </w:rPr>
        <w:t xml:space="preserve"> declared </w:t>
      </w:r>
      <w:proofErr w:type="spellStart"/>
      <w:r w:rsidR="007B0124" w:rsidRPr="00C1470E">
        <w:rPr>
          <w:rFonts w:ascii="Arial" w:hAnsi="Arial" w:cs="Arial"/>
          <w:b/>
          <w:bCs/>
          <w:sz w:val="20"/>
          <w:szCs w:val="20"/>
          <w:lang w:val="en-GB"/>
        </w:rPr>
        <w:t>Jérôme</w:t>
      </w:r>
      <w:proofErr w:type="spellEnd"/>
      <w:r w:rsidR="007B0124" w:rsidRPr="00C1470E">
        <w:rPr>
          <w:rFonts w:ascii="Arial" w:hAnsi="Arial" w:cs="Arial"/>
          <w:b/>
          <w:bCs/>
          <w:sz w:val="20"/>
          <w:szCs w:val="20"/>
          <w:lang w:val="en-GB"/>
        </w:rPr>
        <w:t xml:space="preserve"> Stoll</w:t>
      </w:r>
      <w:r w:rsidR="007B0124" w:rsidRPr="00C1470E">
        <w:rPr>
          <w:rFonts w:ascii="Arial" w:hAnsi="Arial" w:cs="Arial"/>
          <w:sz w:val="20"/>
          <w:szCs w:val="20"/>
          <w:lang w:val="en-GB"/>
        </w:rPr>
        <w:t>, Executive Committee Member, Chief Performance Officer and Executive Vice-President Sales and Marketing.</w:t>
      </w:r>
    </w:p>
    <w:p w:rsidR="00692739" w:rsidRPr="00C1470E" w:rsidRDefault="00692739">
      <w:pPr>
        <w:rPr>
          <w:rFonts w:ascii="Arial" w:eastAsia="Times New Roman" w:hAnsi="Arial" w:cs="Arial"/>
          <w:b/>
          <w:bCs/>
          <w:sz w:val="18"/>
          <w:szCs w:val="18"/>
          <w:lang w:val="en-GB"/>
        </w:rPr>
      </w:pPr>
    </w:p>
    <w:p w:rsidR="000F6B64" w:rsidRPr="00C1470E" w:rsidRDefault="000F6B64">
      <w:pPr>
        <w:rPr>
          <w:rFonts w:ascii="Arial" w:eastAsia="Times New Roman" w:hAnsi="Arial" w:cs="Arial"/>
          <w:b/>
          <w:bCs/>
          <w:sz w:val="18"/>
          <w:szCs w:val="18"/>
          <w:lang w:val="en-GB"/>
        </w:rPr>
      </w:pPr>
      <w:r w:rsidRPr="00C1470E">
        <w:rPr>
          <w:rFonts w:ascii="Arial" w:eastAsia="Times New Roman" w:hAnsi="Arial" w:cs="Arial"/>
          <w:b/>
          <w:bCs/>
          <w:sz w:val="18"/>
          <w:szCs w:val="18"/>
          <w:lang w:val="en-GB"/>
        </w:rPr>
        <w:br w:type="page"/>
      </w:r>
    </w:p>
    <w:p w:rsidR="000F6B64" w:rsidRPr="00C1470E" w:rsidRDefault="000F6B64" w:rsidP="00223DFF">
      <w:pPr>
        <w:pStyle w:val="Sous-titre2"/>
        <w:spacing w:after="0"/>
        <w:ind w:firstLine="720"/>
        <w:jc w:val="both"/>
        <w:textAlignment w:val="top"/>
        <w:rPr>
          <w:rStyle w:val="lev"/>
          <w:b/>
          <w:sz w:val="21"/>
          <w:szCs w:val="21"/>
          <w:lang w:val="en-GB"/>
        </w:rPr>
      </w:pPr>
      <w:r w:rsidRPr="00C1470E">
        <w:rPr>
          <w:rStyle w:val="lev"/>
          <w:b/>
          <w:sz w:val="21"/>
          <w:szCs w:val="21"/>
          <w:lang w:val="en-GB"/>
        </w:rPr>
        <w:t>Group sales by region PC+LCV</w:t>
      </w:r>
    </w:p>
    <w:tbl>
      <w:tblPr>
        <w:tblStyle w:val="Trameclaire-Accent1"/>
        <w:tblW w:w="4250" w:type="pct"/>
        <w:jc w:val="center"/>
        <w:tblLook w:val="0460" w:firstRow="1" w:lastRow="1" w:firstColumn="0" w:lastColumn="0" w:noHBand="0" w:noVBand="1"/>
      </w:tblPr>
      <w:tblGrid>
        <w:gridCol w:w="4109"/>
        <w:gridCol w:w="1838"/>
        <w:gridCol w:w="1838"/>
        <w:gridCol w:w="1839"/>
      </w:tblGrid>
      <w:tr w:rsidR="00E71566" w:rsidRPr="00C1470E" w:rsidTr="004A152F">
        <w:trPr>
          <w:cnfStyle w:val="100000000000" w:firstRow="1" w:lastRow="0" w:firstColumn="0" w:lastColumn="0" w:oddVBand="0" w:evenVBand="0" w:oddHBand="0" w:evenHBand="0" w:firstRowFirstColumn="0" w:firstRowLastColumn="0" w:lastRowFirstColumn="0" w:lastRowLastColumn="0"/>
          <w:trHeight w:val="310"/>
          <w:jc w:val="center"/>
        </w:trPr>
        <w:tc>
          <w:tcPr>
            <w:tcW w:w="0" w:type="auto"/>
            <w:vAlign w:val="center"/>
            <w:hideMark/>
          </w:tcPr>
          <w:p w:rsidR="00E71566" w:rsidRPr="00C1470E" w:rsidRDefault="00E71566" w:rsidP="00C66A51">
            <w:pPr>
              <w:rPr>
                <w:rFonts w:ascii="Arial" w:eastAsia="Times New Roman" w:hAnsi="Arial" w:cs="Arial"/>
                <w:sz w:val="20"/>
                <w:szCs w:val="20"/>
                <w:lang w:val="en-GB"/>
              </w:rPr>
            </w:pPr>
            <w:r w:rsidRPr="00C1470E">
              <w:rPr>
                <w:rFonts w:ascii="Arial" w:eastAsia="Times New Roman" w:hAnsi="Arial" w:cs="Arial"/>
                <w:sz w:val="20"/>
                <w:szCs w:val="20"/>
                <w:lang w:val="en-GB"/>
              </w:rPr>
              <w:t> </w:t>
            </w:r>
          </w:p>
        </w:tc>
        <w:tc>
          <w:tcPr>
            <w:tcW w:w="1838" w:type="dxa"/>
            <w:vAlign w:val="center"/>
            <w:hideMark/>
          </w:tcPr>
          <w:p w:rsidR="00E71566" w:rsidRPr="00C1470E" w:rsidRDefault="00E71566" w:rsidP="004A152F">
            <w:pPr>
              <w:jc w:val="center"/>
              <w:rPr>
                <w:rFonts w:ascii="Arial" w:eastAsia="Times New Roman" w:hAnsi="Arial" w:cs="Arial"/>
                <w:b w:val="0"/>
                <w:sz w:val="16"/>
                <w:szCs w:val="16"/>
                <w:lang w:val="en-GB"/>
              </w:rPr>
            </w:pPr>
            <w:r w:rsidRPr="00C1470E">
              <w:rPr>
                <w:rStyle w:val="lev"/>
                <w:rFonts w:ascii="Arial" w:eastAsia="Times New Roman" w:hAnsi="Arial" w:cs="Arial"/>
                <w:sz w:val="16"/>
                <w:szCs w:val="16"/>
                <w:lang w:val="en-GB"/>
              </w:rPr>
              <w:t>At end December 2014</w:t>
            </w:r>
          </w:p>
        </w:tc>
        <w:tc>
          <w:tcPr>
            <w:tcW w:w="1838" w:type="dxa"/>
            <w:vAlign w:val="center"/>
            <w:hideMark/>
          </w:tcPr>
          <w:p w:rsidR="00E71566" w:rsidRPr="00C1470E" w:rsidRDefault="00E71566" w:rsidP="004A152F">
            <w:pPr>
              <w:jc w:val="center"/>
              <w:rPr>
                <w:rFonts w:ascii="Arial" w:eastAsia="Times New Roman" w:hAnsi="Arial" w:cs="Arial"/>
                <w:b w:val="0"/>
                <w:sz w:val="16"/>
                <w:szCs w:val="16"/>
                <w:lang w:val="en-GB"/>
              </w:rPr>
            </w:pPr>
            <w:r w:rsidRPr="00C1470E">
              <w:rPr>
                <w:rStyle w:val="lev"/>
                <w:rFonts w:ascii="Arial" w:eastAsia="Times New Roman" w:hAnsi="Arial" w:cs="Arial"/>
                <w:sz w:val="16"/>
                <w:szCs w:val="16"/>
                <w:lang w:val="en-GB"/>
              </w:rPr>
              <w:t>At end December 2013</w:t>
            </w:r>
          </w:p>
        </w:tc>
        <w:tc>
          <w:tcPr>
            <w:tcW w:w="1839" w:type="dxa"/>
            <w:vAlign w:val="center"/>
            <w:hideMark/>
          </w:tcPr>
          <w:p w:rsidR="00E71566" w:rsidRPr="00C1470E" w:rsidRDefault="00E71566" w:rsidP="004A152F">
            <w:pPr>
              <w:jc w:val="center"/>
              <w:rPr>
                <w:rFonts w:ascii="Arial" w:eastAsia="Times New Roman" w:hAnsi="Arial" w:cs="Arial"/>
                <w:b w:val="0"/>
                <w:sz w:val="16"/>
                <w:szCs w:val="16"/>
                <w:lang w:val="en-GB"/>
              </w:rPr>
            </w:pPr>
            <w:r w:rsidRPr="00C1470E">
              <w:rPr>
                <w:rStyle w:val="lev"/>
                <w:rFonts w:ascii="Arial" w:eastAsia="Times New Roman" w:hAnsi="Arial" w:cs="Arial"/>
                <w:sz w:val="16"/>
                <w:szCs w:val="16"/>
                <w:lang w:val="en-GB"/>
              </w:rPr>
              <w:t xml:space="preserve">% </w:t>
            </w:r>
            <w:proofErr w:type="spellStart"/>
            <w:r w:rsidRPr="00C1470E">
              <w:rPr>
                <w:rStyle w:val="lev"/>
                <w:rFonts w:ascii="Arial" w:eastAsia="Times New Roman" w:hAnsi="Arial" w:cs="Arial"/>
                <w:sz w:val="16"/>
                <w:szCs w:val="16"/>
                <w:lang w:val="en-GB"/>
              </w:rPr>
              <w:t>var</w:t>
            </w:r>
            <w:proofErr w:type="spellEnd"/>
          </w:p>
        </w:tc>
      </w:tr>
      <w:tr w:rsidR="00E71566" w:rsidRPr="00C1470E" w:rsidTr="00AA01A7">
        <w:trPr>
          <w:cnfStyle w:val="000000100000" w:firstRow="0" w:lastRow="0" w:firstColumn="0" w:lastColumn="0" w:oddVBand="0" w:evenVBand="0" w:oddHBand="1" w:evenHBand="0" w:firstRowFirstColumn="0" w:firstRowLastColumn="0" w:lastRowFirstColumn="0" w:lastRowLastColumn="0"/>
          <w:trHeight w:val="315"/>
          <w:jc w:val="center"/>
        </w:trPr>
        <w:tc>
          <w:tcPr>
            <w:tcW w:w="0" w:type="auto"/>
            <w:vAlign w:val="center"/>
            <w:hideMark/>
          </w:tcPr>
          <w:p w:rsidR="00E71566" w:rsidRPr="00C1470E" w:rsidRDefault="00E71566" w:rsidP="00AA01A7">
            <w:pPr>
              <w:rPr>
                <w:rFonts w:ascii="Arial" w:eastAsia="Times New Roman" w:hAnsi="Arial" w:cs="Arial"/>
                <w:sz w:val="20"/>
                <w:szCs w:val="20"/>
                <w:lang w:val="en-GB"/>
              </w:rPr>
            </w:pPr>
            <w:r w:rsidRPr="00C1470E">
              <w:rPr>
                <w:rFonts w:ascii="Arial" w:eastAsia="Times New Roman" w:hAnsi="Arial" w:cs="Arial"/>
                <w:sz w:val="20"/>
                <w:szCs w:val="20"/>
                <w:lang w:val="en-GB"/>
              </w:rPr>
              <w:t>France</w:t>
            </w:r>
          </w:p>
        </w:tc>
        <w:tc>
          <w:tcPr>
            <w:tcW w:w="1838" w:type="dxa"/>
            <w:vAlign w:val="center"/>
          </w:tcPr>
          <w:p w:rsidR="00E71566" w:rsidRPr="00C1470E" w:rsidRDefault="00E71566" w:rsidP="00E71566">
            <w:pPr>
              <w:jc w:val="right"/>
              <w:rPr>
                <w:rFonts w:ascii="Arial" w:eastAsia="Times New Roman" w:hAnsi="Arial" w:cs="Arial"/>
                <w:sz w:val="20"/>
                <w:szCs w:val="20"/>
                <w:lang w:val="en-GB"/>
              </w:rPr>
            </w:pPr>
            <w:r w:rsidRPr="00C1470E">
              <w:rPr>
                <w:rFonts w:ascii="Arial" w:eastAsia="Times New Roman" w:hAnsi="Arial" w:cs="Arial"/>
                <w:sz w:val="20"/>
                <w:szCs w:val="20"/>
                <w:lang w:val="en-GB"/>
              </w:rPr>
              <w:t>577,601</w:t>
            </w:r>
          </w:p>
        </w:tc>
        <w:tc>
          <w:tcPr>
            <w:tcW w:w="1838" w:type="dxa"/>
            <w:vAlign w:val="center"/>
          </w:tcPr>
          <w:p w:rsidR="00E71566" w:rsidRPr="00C1470E" w:rsidRDefault="00E71566" w:rsidP="00E71566">
            <w:pPr>
              <w:jc w:val="right"/>
              <w:rPr>
                <w:rFonts w:ascii="Arial" w:eastAsia="Times New Roman" w:hAnsi="Arial" w:cs="Arial"/>
                <w:sz w:val="20"/>
                <w:szCs w:val="20"/>
                <w:lang w:val="en-GB"/>
              </w:rPr>
            </w:pPr>
            <w:r w:rsidRPr="00C1470E">
              <w:rPr>
                <w:rFonts w:ascii="Arial" w:eastAsia="Times New Roman" w:hAnsi="Arial" w:cs="Arial"/>
                <w:sz w:val="20"/>
                <w:szCs w:val="20"/>
                <w:lang w:val="en-GB"/>
              </w:rPr>
              <w:t>547,694</w:t>
            </w:r>
          </w:p>
        </w:tc>
        <w:tc>
          <w:tcPr>
            <w:tcW w:w="1839" w:type="dxa"/>
            <w:vAlign w:val="center"/>
          </w:tcPr>
          <w:p w:rsidR="00E71566" w:rsidRPr="00C1470E" w:rsidRDefault="0077717F" w:rsidP="00C66A51">
            <w:pPr>
              <w:jc w:val="right"/>
              <w:rPr>
                <w:rFonts w:ascii="Arial" w:eastAsia="Times New Roman" w:hAnsi="Arial" w:cs="Arial"/>
                <w:sz w:val="20"/>
                <w:szCs w:val="20"/>
                <w:lang w:val="en-GB"/>
              </w:rPr>
            </w:pPr>
            <w:r w:rsidRPr="00C1470E">
              <w:rPr>
                <w:rFonts w:ascii="Arial" w:eastAsia="Times New Roman" w:hAnsi="Arial" w:cs="Arial"/>
                <w:sz w:val="20"/>
                <w:szCs w:val="20"/>
                <w:lang w:val="en-GB"/>
              </w:rPr>
              <w:t>5.5</w:t>
            </w:r>
          </w:p>
        </w:tc>
      </w:tr>
      <w:tr w:rsidR="00E71566" w:rsidRPr="00C1470E" w:rsidTr="00AA01A7">
        <w:trPr>
          <w:trHeight w:val="315"/>
          <w:jc w:val="center"/>
        </w:trPr>
        <w:tc>
          <w:tcPr>
            <w:tcW w:w="0" w:type="auto"/>
            <w:vAlign w:val="center"/>
            <w:hideMark/>
          </w:tcPr>
          <w:p w:rsidR="00E71566" w:rsidRPr="00C1470E" w:rsidRDefault="00E71566" w:rsidP="00AA01A7">
            <w:pPr>
              <w:rPr>
                <w:rFonts w:ascii="Arial" w:eastAsia="Times New Roman" w:hAnsi="Arial" w:cs="Arial"/>
                <w:sz w:val="20"/>
                <w:szCs w:val="20"/>
                <w:lang w:val="en-GB"/>
              </w:rPr>
            </w:pPr>
            <w:r w:rsidRPr="00C1470E">
              <w:rPr>
                <w:rFonts w:ascii="Arial" w:eastAsia="Times New Roman" w:hAnsi="Arial" w:cs="Arial"/>
                <w:sz w:val="20"/>
                <w:szCs w:val="20"/>
                <w:lang w:val="en-GB"/>
              </w:rPr>
              <w:t>Europe* (excluding France)</w:t>
            </w:r>
          </w:p>
        </w:tc>
        <w:tc>
          <w:tcPr>
            <w:tcW w:w="1838" w:type="dxa"/>
            <w:vAlign w:val="center"/>
          </w:tcPr>
          <w:p w:rsidR="00E71566" w:rsidRPr="00C1470E" w:rsidRDefault="00E71566" w:rsidP="0077717F">
            <w:pPr>
              <w:jc w:val="right"/>
              <w:rPr>
                <w:rFonts w:ascii="Arial" w:eastAsia="Times New Roman" w:hAnsi="Arial" w:cs="Arial"/>
                <w:sz w:val="20"/>
                <w:szCs w:val="20"/>
                <w:lang w:val="en-GB"/>
              </w:rPr>
            </w:pPr>
            <w:r w:rsidRPr="00C1470E">
              <w:rPr>
                <w:rFonts w:ascii="Arial" w:eastAsia="Times New Roman" w:hAnsi="Arial" w:cs="Arial"/>
                <w:sz w:val="20"/>
                <w:szCs w:val="20"/>
                <w:lang w:val="en-GB"/>
              </w:rPr>
              <w:t>887,010</w:t>
            </w:r>
          </w:p>
        </w:tc>
        <w:tc>
          <w:tcPr>
            <w:tcW w:w="1838" w:type="dxa"/>
            <w:vAlign w:val="center"/>
          </w:tcPr>
          <w:p w:rsidR="00E71566" w:rsidRPr="00C1470E" w:rsidRDefault="0077717F" w:rsidP="00C66A51">
            <w:pPr>
              <w:jc w:val="right"/>
              <w:rPr>
                <w:rFonts w:ascii="Arial" w:eastAsia="Times New Roman" w:hAnsi="Arial" w:cs="Arial"/>
                <w:sz w:val="20"/>
                <w:szCs w:val="20"/>
                <w:lang w:val="en-GB"/>
              </w:rPr>
            </w:pPr>
            <w:r w:rsidRPr="00C1470E">
              <w:rPr>
                <w:rFonts w:ascii="Arial" w:eastAsia="Times New Roman" w:hAnsi="Arial" w:cs="Arial"/>
                <w:sz w:val="20"/>
                <w:szCs w:val="20"/>
                <w:lang w:val="en-GB"/>
              </w:rPr>
              <w:t>754,202</w:t>
            </w:r>
          </w:p>
        </w:tc>
        <w:tc>
          <w:tcPr>
            <w:tcW w:w="1839" w:type="dxa"/>
            <w:vAlign w:val="center"/>
          </w:tcPr>
          <w:p w:rsidR="00E71566" w:rsidRPr="00C1470E" w:rsidRDefault="00E71566" w:rsidP="0077717F">
            <w:pPr>
              <w:jc w:val="right"/>
              <w:rPr>
                <w:rFonts w:ascii="Arial" w:eastAsia="Times New Roman" w:hAnsi="Arial" w:cs="Arial"/>
                <w:sz w:val="20"/>
                <w:szCs w:val="20"/>
                <w:lang w:val="en-GB"/>
              </w:rPr>
            </w:pPr>
            <w:r w:rsidRPr="00C1470E">
              <w:rPr>
                <w:rFonts w:ascii="Arial" w:eastAsia="Times New Roman" w:hAnsi="Arial" w:cs="Arial"/>
                <w:sz w:val="20"/>
                <w:szCs w:val="20"/>
                <w:lang w:val="en-GB"/>
              </w:rPr>
              <w:t>17.6</w:t>
            </w:r>
          </w:p>
        </w:tc>
      </w:tr>
      <w:tr w:rsidR="00E71566" w:rsidRPr="00C1470E" w:rsidTr="00AA01A7">
        <w:trPr>
          <w:cnfStyle w:val="000000100000" w:firstRow="0" w:lastRow="0" w:firstColumn="0" w:lastColumn="0" w:oddVBand="0" w:evenVBand="0" w:oddHBand="1" w:evenHBand="0" w:firstRowFirstColumn="0" w:firstRowLastColumn="0" w:lastRowFirstColumn="0" w:lastRowLastColumn="0"/>
          <w:trHeight w:val="315"/>
          <w:jc w:val="center"/>
        </w:trPr>
        <w:tc>
          <w:tcPr>
            <w:tcW w:w="0" w:type="auto"/>
            <w:vAlign w:val="center"/>
            <w:hideMark/>
          </w:tcPr>
          <w:p w:rsidR="00E71566" w:rsidRPr="00C1470E" w:rsidRDefault="00E71566" w:rsidP="00AA01A7">
            <w:pPr>
              <w:rPr>
                <w:rFonts w:ascii="Arial" w:eastAsia="Times New Roman" w:hAnsi="Arial" w:cs="Arial"/>
                <w:sz w:val="20"/>
                <w:szCs w:val="20"/>
                <w:lang w:val="en-GB"/>
              </w:rPr>
            </w:pPr>
            <w:r w:rsidRPr="00C1470E">
              <w:rPr>
                <w:rStyle w:val="lev"/>
                <w:rFonts w:ascii="Arial" w:eastAsia="Times New Roman" w:hAnsi="Arial" w:cs="Arial"/>
                <w:sz w:val="20"/>
                <w:szCs w:val="20"/>
                <w:lang w:val="en-GB"/>
              </w:rPr>
              <w:t>France + Europe Total</w:t>
            </w:r>
          </w:p>
        </w:tc>
        <w:tc>
          <w:tcPr>
            <w:tcW w:w="1838" w:type="dxa"/>
            <w:vAlign w:val="center"/>
          </w:tcPr>
          <w:p w:rsidR="00E71566" w:rsidRPr="00C1470E" w:rsidRDefault="00E71566" w:rsidP="0077717F">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1,464,611</w:t>
            </w:r>
          </w:p>
        </w:tc>
        <w:tc>
          <w:tcPr>
            <w:tcW w:w="1838" w:type="dxa"/>
            <w:vAlign w:val="center"/>
          </w:tcPr>
          <w:p w:rsidR="00E71566" w:rsidRPr="00C1470E" w:rsidRDefault="00E71566" w:rsidP="0077717F">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1,301,896</w:t>
            </w:r>
          </w:p>
        </w:tc>
        <w:tc>
          <w:tcPr>
            <w:tcW w:w="1839" w:type="dxa"/>
            <w:vAlign w:val="center"/>
          </w:tcPr>
          <w:p w:rsidR="00E71566" w:rsidRPr="00C1470E" w:rsidRDefault="00E71566" w:rsidP="0077717F">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12.5</w:t>
            </w:r>
          </w:p>
        </w:tc>
      </w:tr>
      <w:tr w:rsidR="00E71566" w:rsidRPr="00C1470E" w:rsidTr="00AA01A7">
        <w:trPr>
          <w:trHeight w:val="315"/>
          <w:jc w:val="center"/>
        </w:trPr>
        <w:tc>
          <w:tcPr>
            <w:tcW w:w="0" w:type="auto"/>
            <w:vAlign w:val="center"/>
            <w:hideMark/>
          </w:tcPr>
          <w:p w:rsidR="00E71566" w:rsidRPr="00C1470E" w:rsidRDefault="00E71566" w:rsidP="00AA01A7">
            <w:pPr>
              <w:rPr>
                <w:rFonts w:ascii="Arial" w:eastAsia="Times New Roman" w:hAnsi="Arial" w:cs="Arial"/>
                <w:sz w:val="20"/>
                <w:szCs w:val="20"/>
                <w:lang w:val="en-GB"/>
              </w:rPr>
            </w:pPr>
            <w:r w:rsidRPr="00C1470E">
              <w:rPr>
                <w:rFonts w:ascii="Arial" w:eastAsia="Times New Roman" w:hAnsi="Arial" w:cs="Arial"/>
                <w:sz w:val="20"/>
                <w:szCs w:val="20"/>
                <w:lang w:val="en-GB"/>
              </w:rPr>
              <w:t>Eurasia</w:t>
            </w:r>
          </w:p>
        </w:tc>
        <w:tc>
          <w:tcPr>
            <w:tcW w:w="1838" w:type="dxa"/>
            <w:vAlign w:val="center"/>
          </w:tcPr>
          <w:p w:rsidR="00E71566" w:rsidRPr="00C1470E" w:rsidRDefault="0077717F" w:rsidP="0077717F">
            <w:pPr>
              <w:jc w:val="right"/>
              <w:rPr>
                <w:rFonts w:ascii="Arial" w:eastAsia="Times New Roman" w:hAnsi="Arial" w:cs="Arial"/>
                <w:sz w:val="20"/>
                <w:szCs w:val="20"/>
                <w:lang w:val="en-GB"/>
              </w:rPr>
            </w:pPr>
            <w:r w:rsidRPr="00C1470E">
              <w:rPr>
                <w:rFonts w:ascii="Arial" w:eastAsia="Times New Roman" w:hAnsi="Arial" w:cs="Arial"/>
                <w:sz w:val="20"/>
                <w:szCs w:val="20"/>
                <w:lang w:val="en-GB"/>
              </w:rPr>
              <w:t>389,703</w:t>
            </w:r>
          </w:p>
        </w:tc>
        <w:tc>
          <w:tcPr>
            <w:tcW w:w="1838" w:type="dxa"/>
            <w:vAlign w:val="center"/>
          </w:tcPr>
          <w:p w:rsidR="00E71566" w:rsidRPr="00C1470E" w:rsidRDefault="0077717F" w:rsidP="00C66A51">
            <w:pPr>
              <w:jc w:val="right"/>
              <w:rPr>
                <w:rFonts w:ascii="Arial" w:eastAsia="Times New Roman" w:hAnsi="Arial" w:cs="Arial"/>
                <w:sz w:val="20"/>
                <w:szCs w:val="20"/>
                <w:lang w:val="en-GB"/>
              </w:rPr>
            </w:pPr>
            <w:r w:rsidRPr="00C1470E">
              <w:rPr>
                <w:rFonts w:ascii="Arial" w:eastAsia="Times New Roman" w:hAnsi="Arial" w:cs="Arial"/>
                <w:sz w:val="20"/>
                <w:szCs w:val="20"/>
                <w:lang w:val="en-GB"/>
              </w:rPr>
              <w:t>411,870</w:t>
            </w:r>
          </w:p>
        </w:tc>
        <w:tc>
          <w:tcPr>
            <w:tcW w:w="1839" w:type="dxa"/>
            <w:vAlign w:val="center"/>
          </w:tcPr>
          <w:p w:rsidR="00E71566" w:rsidRPr="00C1470E" w:rsidRDefault="00E71566" w:rsidP="0077717F">
            <w:pPr>
              <w:jc w:val="right"/>
              <w:rPr>
                <w:rFonts w:ascii="Arial" w:eastAsia="Times New Roman" w:hAnsi="Arial" w:cs="Arial"/>
                <w:sz w:val="20"/>
                <w:szCs w:val="20"/>
                <w:lang w:val="en-GB"/>
              </w:rPr>
            </w:pPr>
            <w:r w:rsidRPr="00C1470E">
              <w:rPr>
                <w:rFonts w:ascii="Arial" w:eastAsia="Times New Roman" w:hAnsi="Arial" w:cs="Arial"/>
                <w:sz w:val="20"/>
                <w:szCs w:val="20"/>
                <w:lang w:val="en-GB"/>
              </w:rPr>
              <w:t>-5.4</w:t>
            </w:r>
          </w:p>
        </w:tc>
      </w:tr>
      <w:tr w:rsidR="00E71566" w:rsidRPr="00C1470E" w:rsidTr="00AA01A7">
        <w:trPr>
          <w:cnfStyle w:val="000000100000" w:firstRow="0" w:lastRow="0" w:firstColumn="0" w:lastColumn="0" w:oddVBand="0" w:evenVBand="0" w:oddHBand="1" w:evenHBand="0" w:firstRowFirstColumn="0" w:firstRowLastColumn="0" w:lastRowFirstColumn="0" w:lastRowLastColumn="0"/>
          <w:trHeight w:val="315"/>
          <w:jc w:val="center"/>
        </w:trPr>
        <w:tc>
          <w:tcPr>
            <w:tcW w:w="0" w:type="auto"/>
            <w:vAlign w:val="center"/>
            <w:hideMark/>
          </w:tcPr>
          <w:p w:rsidR="00E71566" w:rsidRPr="00C1470E" w:rsidRDefault="00E71566" w:rsidP="00AA01A7">
            <w:pPr>
              <w:rPr>
                <w:rFonts w:ascii="Arial" w:eastAsia="Times New Roman" w:hAnsi="Arial" w:cs="Arial"/>
                <w:sz w:val="20"/>
                <w:szCs w:val="20"/>
                <w:lang w:val="en-GB"/>
              </w:rPr>
            </w:pPr>
            <w:r w:rsidRPr="00C1470E">
              <w:rPr>
                <w:rFonts w:ascii="Arial" w:eastAsia="Times New Roman" w:hAnsi="Arial" w:cs="Arial"/>
                <w:sz w:val="20"/>
                <w:szCs w:val="20"/>
                <w:lang w:val="en-GB"/>
              </w:rPr>
              <w:t>Americas</w:t>
            </w:r>
          </w:p>
        </w:tc>
        <w:tc>
          <w:tcPr>
            <w:tcW w:w="1838" w:type="dxa"/>
            <w:vAlign w:val="center"/>
          </w:tcPr>
          <w:p w:rsidR="00E71566" w:rsidRPr="00C1470E" w:rsidRDefault="0077717F" w:rsidP="00C66A51">
            <w:pPr>
              <w:jc w:val="right"/>
              <w:rPr>
                <w:rFonts w:ascii="Arial" w:eastAsia="Times New Roman" w:hAnsi="Arial" w:cs="Arial"/>
                <w:sz w:val="20"/>
                <w:szCs w:val="20"/>
                <w:lang w:val="en-GB"/>
              </w:rPr>
            </w:pPr>
            <w:r w:rsidRPr="00C1470E">
              <w:rPr>
                <w:rFonts w:ascii="Arial" w:eastAsia="Times New Roman" w:hAnsi="Arial" w:cs="Arial"/>
                <w:sz w:val="20"/>
                <w:szCs w:val="20"/>
                <w:lang w:val="en-GB"/>
              </w:rPr>
              <w:t>416,934</w:t>
            </w:r>
          </w:p>
        </w:tc>
        <w:tc>
          <w:tcPr>
            <w:tcW w:w="1838" w:type="dxa"/>
            <w:vAlign w:val="center"/>
          </w:tcPr>
          <w:p w:rsidR="00E71566" w:rsidRPr="00C1470E" w:rsidRDefault="0077717F" w:rsidP="00C66A51">
            <w:pPr>
              <w:jc w:val="right"/>
              <w:rPr>
                <w:rFonts w:ascii="Arial" w:eastAsia="Times New Roman" w:hAnsi="Arial" w:cs="Arial"/>
                <w:sz w:val="20"/>
                <w:szCs w:val="20"/>
                <w:lang w:val="en-GB"/>
              </w:rPr>
            </w:pPr>
            <w:r w:rsidRPr="00C1470E">
              <w:rPr>
                <w:rFonts w:ascii="Arial" w:eastAsia="Times New Roman" w:hAnsi="Arial" w:cs="Arial"/>
                <w:sz w:val="20"/>
                <w:szCs w:val="20"/>
                <w:lang w:val="en-GB"/>
              </w:rPr>
              <w:t>466,891</w:t>
            </w:r>
          </w:p>
        </w:tc>
        <w:tc>
          <w:tcPr>
            <w:tcW w:w="1839" w:type="dxa"/>
            <w:vAlign w:val="center"/>
          </w:tcPr>
          <w:p w:rsidR="00E71566" w:rsidRPr="00C1470E" w:rsidRDefault="0077717F" w:rsidP="00C66A51">
            <w:pPr>
              <w:jc w:val="right"/>
              <w:rPr>
                <w:rFonts w:ascii="Arial" w:eastAsia="Times New Roman" w:hAnsi="Arial" w:cs="Arial"/>
                <w:sz w:val="20"/>
                <w:szCs w:val="20"/>
                <w:lang w:val="en-GB"/>
              </w:rPr>
            </w:pPr>
            <w:r w:rsidRPr="00C1470E">
              <w:rPr>
                <w:rFonts w:ascii="Arial" w:eastAsia="Times New Roman" w:hAnsi="Arial" w:cs="Arial"/>
                <w:sz w:val="20"/>
                <w:szCs w:val="20"/>
                <w:lang w:val="en-GB"/>
              </w:rPr>
              <w:t>-10.7</w:t>
            </w:r>
          </w:p>
        </w:tc>
      </w:tr>
      <w:tr w:rsidR="00E71566" w:rsidRPr="00C1470E" w:rsidTr="00AA01A7">
        <w:trPr>
          <w:trHeight w:val="315"/>
          <w:jc w:val="center"/>
        </w:trPr>
        <w:tc>
          <w:tcPr>
            <w:tcW w:w="0" w:type="auto"/>
            <w:vAlign w:val="center"/>
            <w:hideMark/>
          </w:tcPr>
          <w:p w:rsidR="00E71566" w:rsidRPr="00C1470E" w:rsidRDefault="00E71566" w:rsidP="00AA01A7">
            <w:pPr>
              <w:rPr>
                <w:rFonts w:ascii="Arial" w:eastAsia="Times New Roman" w:hAnsi="Arial" w:cs="Arial"/>
                <w:sz w:val="20"/>
                <w:szCs w:val="20"/>
                <w:lang w:val="en-GB"/>
              </w:rPr>
            </w:pPr>
            <w:r w:rsidRPr="00C1470E">
              <w:rPr>
                <w:rFonts w:ascii="Arial" w:eastAsia="Times New Roman" w:hAnsi="Arial" w:cs="Arial"/>
                <w:sz w:val="20"/>
                <w:szCs w:val="20"/>
                <w:lang w:val="en-GB"/>
              </w:rPr>
              <w:t>Africa, Middle East and India</w:t>
            </w:r>
          </w:p>
        </w:tc>
        <w:tc>
          <w:tcPr>
            <w:tcW w:w="1838" w:type="dxa"/>
            <w:vAlign w:val="center"/>
          </w:tcPr>
          <w:p w:rsidR="00E71566" w:rsidRPr="00C1470E" w:rsidRDefault="0077717F" w:rsidP="00C66A51">
            <w:pPr>
              <w:jc w:val="right"/>
              <w:rPr>
                <w:rFonts w:ascii="Arial" w:eastAsia="Times New Roman" w:hAnsi="Arial" w:cs="Arial"/>
                <w:sz w:val="20"/>
                <w:szCs w:val="20"/>
                <w:lang w:val="en-GB"/>
              </w:rPr>
            </w:pPr>
            <w:r w:rsidRPr="00C1470E">
              <w:rPr>
                <w:rFonts w:ascii="Arial" w:eastAsia="Times New Roman" w:hAnsi="Arial" w:cs="Arial"/>
                <w:sz w:val="20"/>
                <w:szCs w:val="20"/>
                <w:lang w:val="en-GB"/>
              </w:rPr>
              <w:t>308,012</w:t>
            </w:r>
          </w:p>
        </w:tc>
        <w:tc>
          <w:tcPr>
            <w:tcW w:w="1838" w:type="dxa"/>
            <w:vAlign w:val="center"/>
          </w:tcPr>
          <w:p w:rsidR="00E71566" w:rsidRPr="00C1470E" w:rsidRDefault="0077717F" w:rsidP="00C66A51">
            <w:pPr>
              <w:jc w:val="right"/>
              <w:rPr>
                <w:rFonts w:ascii="Arial" w:eastAsia="Times New Roman" w:hAnsi="Arial" w:cs="Arial"/>
                <w:sz w:val="20"/>
                <w:szCs w:val="20"/>
                <w:lang w:val="en-GB"/>
              </w:rPr>
            </w:pPr>
            <w:r w:rsidRPr="00C1470E">
              <w:rPr>
                <w:rFonts w:ascii="Arial" w:eastAsia="Times New Roman" w:hAnsi="Arial" w:cs="Arial"/>
                <w:sz w:val="20"/>
                <w:szCs w:val="20"/>
                <w:lang w:val="en-GB"/>
              </w:rPr>
              <w:t>339,289</w:t>
            </w:r>
          </w:p>
        </w:tc>
        <w:tc>
          <w:tcPr>
            <w:tcW w:w="1839" w:type="dxa"/>
            <w:vAlign w:val="center"/>
          </w:tcPr>
          <w:p w:rsidR="00E71566" w:rsidRPr="00C1470E" w:rsidRDefault="0077717F" w:rsidP="0077717F">
            <w:pPr>
              <w:jc w:val="right"/>
              <w:rPr>
                <w:rFonts w:ascii="Arial" w:eastAsia="Times New Roman" w:hAnsi="Arial" w:cs="Arial"/>
                <w:sz w:val="20"/>
                <w:szCs w:val="20"/>
                <w:lang w:val="en-GB"/>
              </w:rPr>
            </w:pPr>
            <w:r w:rsidRPr="00C1470E">
              <w:rPr>
                <w:rFonts w:ascii="Arial" w:eastAsia="Times New Roman" w:hAnsi="Arial" w:cs="Arial"/>
                <w:sz w:val="20"/>
                <w:szCs w:val="20"/>
                <w:lang w:val="en-GB"/>
              </w:rPr>
              <w:t>-9.2</w:t>
            </w:r>
          </w:p>
        </w:tc>
      </w:tr>
      <w:tr w:rsidR="00E71566" w:rsidRPr="00C1470E" w:rsidTr="00AA01A7">
        <w:trPr>
          <w:cnfStyle w:val="000000100000" w:firstRow="0" w:lastRow="0" w:firstColumn="0" w:lastColumn="0" w:oddVBand="0" w:evenVBand="0" w:oddHBand="1" w:evenHBand="0" w:firstRowFirstColumn="0" w:firstRowLastColumn="0" w:lastRowFirstColumn="0" w:lastRowLastColumn="0"/>
          <w:trHeight w:val="315"/>
          <w:jc w:val="center"/>
        </w:trPr>
        <w:tc>
          <w:tcPr>
            <w:tcW w:w="0" w:type="auto"/>
            <w:vAlign w:val="center"/>
            <w:hideMark/>
          </w:tcPr>
          <w:p w:rsidR="00E71566" w:rsidRPr="00C1470E" w:rsidRDefault="00E71566" w:rsidP="00AA01A7">
            <w:pPr>
              <w:rPr>
                <w:rFonts w:ascii="Arial" w:eastAsia="Times New Roman" w:hAnsi="Arial" w:cs="Arial"/>
                <w:sz w:val="20"/>
                <w:szCs w:val="20"/>
                <w:lang w:val="en-GB"/>
              </w:rPr>
            </w:pPr>
            <w:r w:rsidRPr="00C1470E">
              <w:rPr>
                <w:rFonts w:ascii="Arial" w:eastAsia="Times New Roman" w:hAnsi="Arial" w:cs="Arial"/>
                <w:sz w:val="20"/>
                <w:szCs w:val="20"/>
                <w:lang w:val="en-GB"/>
              </w:rPr>
              <w:t>Asia Pacific</w:t>
            </w:r>
          </w:p>
        </w:tc>
        <w:tc>
          <w:tcPr>
            <w:tcW w:w="1838" w:type="dxa"/>
            <w:vAlign w:val="center"/>
          </w:tcPr>
          <w:p w:rsidR="00E71566" w:rsidRPr="00C1470E" w:rsidRDefault="0077717F" w:rsidP="0077717F">
            <w:pPr>
              <w:jc w:val="right"/>
              <w:rPr>
                <w:rFonts w:ascii="Arial" w:eastAsia="Times New Roman" w:hAnsi="Arial" w:cs="Arial"/>
                <w:sz w:val="20"/>
                <w:szCs w:val="20"/>
                <w:lang w:val="en-GB"/>
              </w:rPr>
            </w:pPr>
            <w:r w:rsidRPr="00C1470E">
              <w:rPr>
                <w:rFonts w:ascii="Arial" w:eastAsia="Times New Roman" w:hAnsi="Arial" w:cs="Arial"/>
                <w:sz w:val="20"/>
                <w:szCs w:val="20"/>
                <w:lang w:val="en-GB"/>
              </w:rPr>
              <w:t>133,172</w:t>
            </w:r>
          </w:p>
        </w:tc>
        <w:tc>
          <w:tcPr>
            <w:tcW w:w="1838" w:type="dxa"/>
            <w:vAlign w:val="center"/>
          </w:tcPr>
          <w:p w:rsidR="00E71566" w:rsidRPr="00C1470E" w:rsidRDefault="0077717F" w:rsidP="00C66A51">
            <w:pPr>
              <w:jc w:val="right"/>
              <w:rPr>
                <w:rFonts w:ascii="Arial" w:eastAsia="Times New Roman" w:hAnsi="Arial" w:cs="Arial"/>
                <w:sz w:val="20"/>
                <w:szCs w:val="20"/>
                <w:lang w:val="en-GB"/>
              </w:rPr>
            </w:pPr>
            <w:r w:rsidRPr="00C1470E">
              <w:rPr>
                <w:rFonts w:ascii="Arial" w:eastAsia="Times New Roman" w:hAnsi="Arial" w:cs="Arial"/>
                <w:sz w:val="20"/>
                <w:szCs w:val="20"/>
                <w:lang w:val="en-GB"/>
              </w:rPr>
              <w:t>108,237</w:t>
            </w:r>
          </w:p>
        </w:tc>
        <w:tc>
          <w:tcPr>
            <w:tcW w:w="1839" w:type="dxa"/>
            <w:vAlign w:val="center"/>
          </w:tcPr>
          <w:p w:rsidR="00E71566" w:rsidRPr="00C1470E" w:rsidRDefault="0077717F" w:rsidP="00C66A51">
            <w:pPr>
              <w:jc w:val="right"/>
              <w:rPr>
                <w:rFonts w:ascii="Arial" w:eastAsia="Times New Roman" w:hAnsi="Arial" w:cs="Arial"/>
                <w:sz w:val="20"/>
                <w:szCs w:val="20"/>
                <w:lang w:val="en-GB"/>
              </w:rPr>
            </w:pPr>
            <w:r w:rsidRPr="00C1470E">
              <w:rPr>
                <w:rFonts w:ascii="Arial" w:eastAsia="Times New Roman" w:hAnsi="Arial" w:cs="Arial"/>
                <w:sz w:val="20"/>
                <w:szCs w:val="20"/>
                <w:lang w:val="en-GB"/>
              </w:rPr>
              <w:t>23.0</w:t>
            </w:r>
          </w:p>
        </w:tc>
      </w:tr>
      <w:tr w:rsidR="00E71566" w:rsidRPr="00C1470E" w:rsidTr="00AA01A7">
        <w:trPr>
          <w:trHeight w:val="315"/>
          <w:jc w:val="center"/>
        </w:trPr>
        <w:tc>
          <w:tcPr>
            <w:tcW w:w="0" w:type="auto"/>
            <w:vAlign w:val="center"/>
            <w:hideMark/>
          </w:tcPr>
          <w:p w:rsidR="00E71566" w:rsidRPr="00C1470E" w:rsidRDefault="00E71566" w:rsidP="00AA01A7">
            <w:pPr>
              <w:rPr>
                <w:rFonts w:ascii="Arial" w:eastAsia="Times New Roman" w:hAnsi="Arial" w:cs="Arial"/>
                <w:sz w:val="20"/>
                <w:szCs w:val="20"/>
                <w:lang w:val="en-GB"/>
              </w:rPr>
            </w:pPr>
            <w:r w:rsidRPr="00C1470E">
              <w:rPr>
                <w:rStyle w:val="lev"/>
                <w:rFonts w:ascii="Arial" w:eastAsia="Times New Roman" w:hAnsi="Arial" w:cs="Arial"/>
                <w:sz w:val="20"/>
                <w:szCs w:val="20"/>
                <w:lang w:val="en-GB"/>
              </w:rPr>
              <w:t xml:space="preserve">Total </w:t>
            </w:r>
            <w:proofErr w:type="spellStart"/>
            <w:r w:rsidRPr="00C1470E">
              <w:rPr>
                <w:rStyle w:val="lev"/>
                <w:rFonts w:ascii="Arial" w:eastAsia="Times New Roman" w:hAnsi="Arial" w:cs="Arial"/>
                <w:sz w:val="20"/>
                <w:szCs w:val="20"/>
                <w:lang w:val="en-GB"/>
              </w:rPr>
              <w:t>Excl</w:t>
            </w:r>
            <w:proofErr w:type="spellEnd"/>
            <w:r w:rsidRPr="00C1470E">
              <w:rPr>
                <w:rStyle w:val="lev"/>
                <w:rFonts w:ascii="Arial" w:eastAsia="Times New Roman" w:hAnsi="Arial" w:cs="Arial"/>
                <w:sz w:val="20"/>
                <w:szCs w:val="20"/>
                <w:lang w:val="en-GB"/>
              </w:rPr>
              <w:t xml:space="preserve"> France + Europe</w:t>
            </w:r>
          </w:p>
        </w:tc>
        <w:tc>
          <w:tcPr>
            <w:tcW w:w="1838" w:type="dxa"/>
            <w:vAlign w:val="center"/>
          </w:tcPr>
          <w:p w:rsidR="00E71566" w:rsidRPr="00C1470E" w:rsidRDefault="00E71566" w:rsidP="0077717F">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1,247,821</w:t>
            </w:r>
          </w:p>
        </w:tc>
        <w:tc>
          <w:tcPr>
            <w:tcW w:w="1838" w:type="dxa"/>
            <w:vAlign w:val="center"/>
          </w:tcPr>
          <w:p w:rsidR="00E71566" w:rsidRPr="00C1470E" w:rsidRDefault="00E71566" w:rsidP="0077717F">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1,326,287</w:t>
            </w:r>
          </w:p>
        </w:tc>
        <w:tc>
          <w:tcPr>
            <w:tcW w:w="1839" w:type="dxa"/>
            <w:vAlign w:val="center"/>
          </w:tcPr>
          <w:p w:rsidR="00E71566" w:rsidRPr="00C1470E" w:rsidRDefault="00E71566" w:rsidP="0077717F">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-5.9</w:t>
            </w:r>
          </w:p>
        </w:tc>
      </w:tr>
      <w:tr w:rsidR="00E71566" w:rsidRPr="00C1470E" w:rsidTr="00AA01A7">
        <w:trPr>
          <w:cnfStyle w:val="010000000000" w:firstRow="0" w:lastRow="1" w:firstColumn="0" w:lastColumn="0" w:oddVBand="0" w:evenVBand="0" w:oddHBand="0" w:evenHBand="0" w:firstRowFirstColumn="0" w:firstRowLastColumn="0" w:lastRowFirstColumn="0" w:lastRowLastColumn="0"/>
          <w:trHeight w:val="315"/>
          <w:jc w:val="center"/>
        </w:trPr>
        <w:tc>
          <w:tcPr>
            <w:tcW w:w="0" w:type="auto"/>
            <w:vAlign w:val="center"/>
            <w:hideMark/>
          </w:tcPr>
          <w:p w:rsidR="00E71566" w:rsidRPr="00C1470E" w:rsidRDefault="00E71566" w:rsidP="00AA01A7">
            <w:pPr>
              <w:rPr>
                <w:rFonts w:ascii="Arial" w:eastAsia="Times New Roman" w:hAnsi="Arial" w:cs="Arial"/>
                <w:sz w:val="20"/>
                <w:szCs w:val="20"/>
                <w:lang w:val="en-GB"/>
              </w:rPr>
            </w:pPr>
            <w:r w:rsidRPr="00C1470E">
              <w:rPr>
                <w:rStyle w:val="lev"/>
                <w:rFonts w:ascii="Arial" w:eastAsia="Times New Roman" w:hAnsi="Arial" w:cs="Arial"/>
                <w:sz w:val="20"/>
                <w:szCs w:val="20"/>
                <w:lang w:val="en-GB"/>
              </w:rPr>
              <w:t>World</w:t>
            </w:r>
          </w:p>
        </w:tc>
        <w:tc>
          <w:tcPr>
            <w:tcW w:w="1838" w:type="dxa"/>
            <w:vAlign w:val="center"/>
          </w:tcPr>
          <w:p w:rsidR="00E71566" w:rsidRPr="00C1470E" w:rsidRDefault="00E71566" w:rsidP="0077717F">
            <w:pPr>
              <w:jc w:val="right"/>
              <w:rPr>
                <w:rFonts w:ascii="Arial" w:eastAsia="Times New Roman" w:hAnsi="Arial" w:cs="Arial"/>
                <w:sz w:val="20"/>
                <w:szCs w:val="20"/>
                <w:lang w:val="en-GB"/>
              </w:rPr>
            </w:pPr>
            <w:r w:rsidRPr="00C1470E">
              <w:rPr>
                <w:rFonts w:ascii="Arial" w:eastAsia="Times New Roman" w:hAnsi="Arial" w:cs="Arial"/>
                <w:sz w:val="20"/>
                <w:szCs w:val="20"/>
                <w:lang w:val="en-GB"/>
              </w:rPr>
              <w:t>2,712,432</w:t>
            </w:r>
          </w:p>
        </w:tc>
        <w:tc>
          <w:tcPr>
            <w:tcW w:w="1838" w:type="dxa"/>
            <w:vAlign w:val="center"/>
          </w:tcPr>
          <w:p w:rsidR="00E71566" w:rsidRPr="00C1470E" w:rsidRDefault="00E71566" w:rsidP="0077717F">
            <w:pPr>
              <w:jc w:val="right"/>
              <w:rPr>
                <w:rFonts w:ascii="Arial" w:eastAsia="Times New Roman" w:hAnsi="Arial" w:cs="Arial"/>
                <w:sz w:val="20"/>
                <w:szCs w:val="20"/>
                <w:lang w:val="en-GB"/>
              </w:rPr>
            </w:pPr>
            <w:r w:rsidRPr="00C1470E">
              <w:rPr>
                <w:rFonts w:ascii="Arial" w:eastAsia="Times New Roman" w:hAnsi="Arial" w:cs="Arial"/>
                <w:sz w:val="20"/>
                <w:szCs w:val="20"/>
                <w:lang w:val="en-GB"/>
              </w:rPr>
              <w:t>2,628,183</w:t>
            </w:r>
          </w:p>
        </w:tc>
        <w:tc>
          <w:tcPr>
            <w:tcW w:w="1839" w:type="dxa"/>
            <w:vAlign w:val="center"/>
          </w:tcPr>
          <w:p w:rsidR="00E71566" w:rsidRPr="00C1470E" w:rsidRDefault="0077717F" w:rsidP="00C66A51">
            <w:pPr>
              <w:jc w:val="right"/>
              <w:rPr>
                <w:rFonts w:ascii="Arial" w:eastAsia="Times New Roman" w:hAnsi="Arial" w:cs="Arial"/>
                <w:sz w:val="20"/>
                <w:szCs w:val="20"/>
                <w:lang w:val="en-GB"/>
              </w:rPr>
            </w:pPr>
            <w:r w:rsidRPr="00C1470E">
              <w:rPr>
                <w:rFonts w:ascii="Arial" w:eastAsia="Times New Roman" w:hAnsi="Arial" w:cs="Arial"/>
                <w:sz w:val="20"/>
                <w:szCs w:val="20"/>
                <w:lang w:val="en-GB"/>
              </w:rPr>
              <w:t>3.2</w:t>
            </w:r>
          </w:p>
        </w:tc>
      </w:tr>
    </w:tbl>
    <w:p w:rsidR="0077717F" w:rsidRPr="00C1470E" w:rsidRDefault="0077717F" w:rsidP="007D522E">
      <w:pPr>
        <w:pStyle w:val="NormalWeb"/>
        <w:spacing w:before="0" w:beforeAutospacing="0" w:after="0" w:afterAutospacing="0"/>
        <w:ind w:firstLine="720"/>
        <w:jc w:val="both"/>
        <w:textAlignment w:val="top"/>
        <w:rPr>
          <w:i/>
          <w:sz w:val="20"/>
          <w:lang w:val="en-GB"/>
        </w:rPr>
      </w:pPr>
      <w:r w:rsidRPr="00C1470E">
        <w:rPr>
          <w:i/>
          <w:sz w:val="20"/>
          <w:lang w:val="en-GB"/>
        </w:rPr>
        <w:t>* Europe = EU (28 countries - Bulgaria &amp; Romania) + Balkans (5 countries) + Iceland, Norway and Switzerland</w:t>
      </w:r>
    </w:p>
    <w:p w:rsidR="000F6B64" w:rsidRPr="00C1470E" w:rsidRDefault="000F6B64" w:rsidP="00223DFF">
      <w:pPr>
        <w:pStyle w:val="Sous-titre2"/>
        <w:spacing w:after="0"/>
        <w:ind w:firstLine="720"/>
        <w:jc w:val="both"/>
        <w:textAlignment w:val="top"/>
        <w:rPr>
          <w:sz w:val="21"/>
          <w:szCs w:val="21"/>
          <w:lang w:val="en-GB"/>
        </w:rPr>
      </w:pPr>
      <w:r w:rsidRPr="00C1470E">
        <w:rPr>
          <w:sz w:val="21"/>
          <w:szCs w:val="21"/>
          <w:lang w:val="en-GB"/>
        </w:rPr>
        <w:t xml:space="preserve">December </w:t>
      </w:r>
      <w:proofErr w:type="spellStart"/>
      <w:r w:rsidRPr="00C1470E">
        <w:rPr>
          <w:sz w:val="21"/>
          <w:szCs w:val="21"/>
          <w:lang w:val="en-GB"/>
        </w:rPr>
        <w:t>Ytd</w:t>
      </w:r>
      <w:proofErr w:type="spellEnd"/>
    </w:p>
    <w:tbl>
      <w:tblPr>
        <w:tblStyle w:val="Trameclaire-Accent1"/>
        <w:tblW w:w="4250" w:type="pct"/>
        <w:jc w:val="center"/>
        <w:tblLook w:val="0420" w:firstRow="1" w:lastRow="0" w:firstColumn="0" w:lastColumn="0" w:noHBand="0" w:noVBand="1"/>
      </w:tblPr>
      <w:tblGrid>
        <w:gridCol w:w="3481"/>
        <w:gridCol w:w="2047"/>
        <w:gridCol w:w="2048"/>
        <w:gridCol w:w="2048"/>
      </w:tblGrid>
      <w:tr w:rsidR="0077717F" w:rsidRPr="00C1470E" w:rsidTr="004A152F">
        <w:trPr>
          <w:cnfStyle w:val="100000000000" w:firstRow="1" w:lastRow="0" w:firstColumn="0" w:lastColumn="0" w:oddVBand="0" w:evenVBand="0" w:oddHBand="0" w:evenHBand="0" w:firstRowFirstColumn="0" w:firstRowLastColumn="0" w:lastRowFirstColumn="0" w:lastRowLastColumn="0"/>
          <w:trHeight w:val="281"/>
          <w:jc w:val="center"/>
        </w:trPr>
        <w:tc>
          <w:tcPr>
            <w:tcW w:w="1808" w:type="pct"/>
            <w:vAlign w:val="center"/>
            <w:hideMark/>
          </w:tcPr>
          <w:p w:rsidR="0077717F" w:rsidRPr="00C1470E" w:rsidRDefault="0077717F" w:rsidP="004A152F">
            <w:pPr>
              <w:jc w:val="center"/>
              <w:rPr>
                <w:rFonts w:ascii="Arial" w:eastAsia="Times New Roman" w:hAnsi="Arial" w:cs="Arial"/>
                <w:sz w:val="16"/>
                <w:szCs w:val="16"/>
                <w:lang w:val="en-GB"/>
              </w:rPr>
            </w:pPr>
          </w:p>
        </w:tc>
        <w:tc>
          <w:tcPr>
            <w:tcW w:w="1063" w:type="pct"/>
            <w:vAlign w:val="center"/>
            <w:hideMark/>
          </w:tcPr>
          <w:p w:rsidR="0077717F" w:rsidRPr="00C1470E" w:rsidRDefault="0077717F" w:rsidP="004A152F">
            <w:pPr>
              <w:jc w:val="center"/>
              <w:rPr>
                <w:rFonts w:ascii="Arial" w:eastAsia="Times New Roman" w:hAnsi="Arial" w:cs="Arial"/>
                <w:b w:val="0"/>
                <w:sz w:val="16"/>
                <w:szCs w:val="16"/>
                <w:lang w:val="en-GB"/>
              </w:rPr>
            </w:pPr>
            <w:r w:rsidRPr="00C1470E">
              <w:rPr>
                <w:rStyle w:val="lev"/>
                <w:rFonts w:ascii="Arial" w:eastAsia="Times New Roman" w:hAnsi="Arial" w:cs="Arial"/>
                <w:sz w:val="16"/>
                <w:szCs w:val="16"/>
                <w:lang w:val="en-GB"/>
              </w:rPr>
              <w:t>At end December 2014</w:t>
            </w:r>
          </w:p>
        </w:tc>
        <w:tc>
          <w:tcPr>
            <w:tcW w:w="1064" w:type="pct"/>
            <w:vAlign w:val="center"/>
            <w:hideMark/>
          </w:tcPr>
          <w:p w:rsidR="0077717F" w:rsidRPr="00C1470E" w:rsidRDefault="0077717F" w:rsidP="004A152F">
            <w:pPr>
              <w:jc w:val="center"/>
              <w:rPr>
                <w:rFonts w:ascii="Arial" w:eastAsia="Times New Roman" w:hAnsi="Arial" w:cs="Arial"/>
                <w:b w:val="0"/>
                <w:sz w:val="16"/>
                <w:szCs w:val="16"/>
                <w:lang w:val="en-GB"/>
              </w:rPr>
            </w:pPr>
            <w:r w:rsidRPr="00C1470E">
              <w:rPr>
                <w:rStyle w:val="lev"/>
                <w:rFonts w:ascii="Arial" w:eastAsia="Times New Roman" w:hAnsi="Arial" w:cs="Arial"/>
                <w:sz w:val="16"/>
                <w:szCs w:val="16"/>
                <w:lang w:val="en-GB"/>
              </w:rPr>
              <w:t>At end December 2013</w:t>
            </w:r>
          </w:p>
        </w:tc>
        <w:tc>
          <w:tcPr>
            <w:tcW w:w="1064" w:type="pct"/>
            <w:vAlign w:val="center"/>
            <w:hideMark/>
          </w:tcPr>
          <w:p w:rsidR="0077717F" w:rsidRPr="00C1470E" w:rsidRDefault="0077717F" w:rsidP="004A152F">
            <w:pPr>
              <w:jc w:val="center"/>
              <w:rPr>
                <w:rFonts w:ascii="Arial" w:eastAsia="Times New Roman" w:hAnsi="Arial" w:cs="Arial"/>
                <w:sz w:val="16"/>
                <w:szCs w:val="16"/>
                <w:lang w:val="en-GB"/>
              </w:rPr>
            </w:pPr>
            <w:r w:rsidRPr="00C1470E">
              <w:rPr>
                <w:rStyle w:val="lev"/>
                <w:rFonts w:ascii="Arial" w:eastAsia="Times New Roman" w:hAnsi="Arial" w:cs="Arial"/>
                <w:sz w:val="16"/>
                <w:szCs w:val="16"/>
                <w:lang w:val="en-GB"/>
              </w:rPr>
              <w:t xml:space="preserve">% </w:t>
            </w:r>
            <w:proofErr w:type="spellStart"/>
            <w:r w:rsidRPr="00C1470E">
              <w:rPr>
                <w:rStyle w:val="lev"/>
                <w:rFonts w:ascii="Arial" w:eastAsia="Times New Roman" w:hAnsi="Arial" w:cs="Arial"/>
                <w:sz w:val="16"/>
                <w:szCs w:val="16"/>
                <w:lang w:val="en-GB"/>
              </w:rPr>
              <w:t>var</w:t>
            </w:r>
            <w:proofErr w:type="spellEnd"/>
          </w:p>
        </w:tc>
      </w:tr>
      <w:tr w:rsidR="0077717F" w:rsidRPr="00C1470E" w:rsidTr="00AA01A7">
        <w:trPr>
          <w:cnfStyle w:val="000000100000" w:firstRow="0" w:lastRow="0" w:firstColumn="0" w:lastColumn="0" w:oddVBand="0" w:evenVBand="0" w:oddHBand="1" w:evenHBand="0" w:firstRowFirstColumn="0" w:firstRowLastColumn="0" w:lastRowFirstColumn="0" w:lastRowLastColumn="0"/>
          <w:trHeight w:val="255"/>
          <w:jc w:val="center"/>
        </w:trPr>
        <w:tc>
          <w:tcPr>
            <w:tcW w:w="1808" w:type="pct"/>
            <w:tcBorders>
              <w:top w:val="single" w:sz="8" w:space="0" w:color="4F81BD" w:themeColor="accent1"/>
              <w:bottom w:val="nil"/>
            </w:tcBorders>
            <w:shd w:val="clear" w:color="auto" w:fill="95B3D7" w:themeFill="accent1" w:themeFillTint="99"/>
            <w:vAlign w:val="center"/>
            <w:hideMark/>
          </w:tcPr>
          <w:p w:rsidR="0077717F" w:rsidRPr="00C1470E" w:rsidRDefault="0077717F" w:rsidP="00AA01A7">
            <w:pPr>
              <w:rPr>
                <w:rFonts w:ascii="Arial" w:eastAsia="Times New Roman" w:hAnsi="Arial" w:cs="Arial"/>
                <w:sz w:val="20"/>
                <w:szCs w:val="20"/>
                <w:lang w:val="en-GB"/>
              </w:rPr>
            </w:pPr>
            <w:r w:rsidRPr="00C1470E">
              <w:rPr>
                <w:rStyle w:val="lev"/>
                <w:rFonts w:ascii="Arial" w:eastAsia="Times New Roman" w:hAnsi="Arial" w:cs="Arial"/>
                <w:sz w:val="20"/>
                <w:szCs w:val="20"/>
                <w:lang w:val="en-GB"/>
              </w:rPr>
              <w:t>RENAULT</w:t>
            </w:r>
          </w:p>
        </w:tc>
        <w:tc>
          <w:tcPr>
            <w:tcW w:w="1063" w:type="pct"/>
            <w:tcBorders>
              <w:top w:val="single" w:sz="8" w:space="0" w:color="4F81BD" w:themeColor="accent1"/>
              <w:bottom w:val="nil"/>
            </w:tcBorders>
            <w:shd w:val="clear" w:color="auto" w:fill="95B3D7" w:themeFill="accent1" w:themeFillTint="99"/>
            <w:hideMark/>
          </w:tcPr>
          <w:p w:rsidR="0077717F" w:rsidRPr="00C1470E" w:rsidRDefault="0077717F" w:rsidP="00C66A51">
            <w:pPr>
              <w:rPr>
                <w:rFonts w:ascii="Arial" w:eastAsia="Times New Roman" w:hAnsi="Arial" w:cs="Arial"/>
                <w:sz w:val="20"/>
                <w:szCs w:val="20"/>
                <w:lang w:val="en-GB"/>
              </w:rPr>
            </w:pPr>
            <w:r w:rsidRPr="00C1470E">
              <w:rPr>
                <w:rFonts w:ascii="Arial" w:eastAsia="Times New Roman" w:hAnsi="Arial" w:cs="Arial"/>
                <w:sz w:val="20"/>
                <w:szCs w:val="20"/>
                <w:lang w:val="en-GB"/>
              </w:rPr>
              <w:t> </w:t>
            </w:r>
          </w:p>
        </w:tc>
        <w:tc>
          <w:tcPr>
            <w:tcW w:w="1064" w:type="pct"/>
            <w:tcBorders>
              <w:top w:val="single" w:sz="8" w:space="0" w:color="4F81BD" w:themeColor="accent1"/>
              <w:bottom w:val="nil"/>
            </w:tcBorders>
            <w:shd w:val="clear" w:color="auto" w:fill="95B3D7" w:themeFill="accent1" w:themeFillTint="99"/>
            <w:hideMark/>
          </w:tcPr>
          <w:p w:rsidR="0077717F" w:rsidRPr="00C1470E" w:rsidRDefault="0077717F" w:rsidP="00C66A51">
            <w:pPr>
              <w:rPr>
                <w:rFonts w:ascii="Arial" w:eastAsia="Times New Roman" w:hAnsi="Arial" w:cs="Arial"/>
                <w:sz w:val="20"/>
                <w:szCs w:val="20"/>
                <w:lang w:val="en-GB"/>
              </w:rPr>
            </w:pPr>
          </w:p>
        </w:tc>
        <w:tc>
          <w:tcPr>
            <w:tcW w:w="1064" w:type="pct"/>
            <w:tcBorders>
              <w:top w:val="single" w:sz="8" w:space="0" w:color="4F81BD" w:themeColor="accent1"/>
              <w:bottom w:val="nil"/>
            </w:tcBorders>
            <w:shd w:val="clear" w:color="auto" w:fill="95B3D7" w:themeFill="accent1" w:themeFillTint="99"/>
            <w:hideMark/>
          </w:tcPr>
          <w:p w:rsidR="0077717F" w:rsidRPr="00C1470E" w:rsidRDefault="0077717F" w:rsidP="00C66A51">
            <w:pPr>
              <w:rPr>
                <w:rFonts w:ascii="Arial" w:eastAsia="Times New Roman" w:hAnsi="Arial" w:cs="Arial"/>
                <w:sz w:val="20"/>
                <w:szCs w:val="20"/>
                <w:lang w:val="en-GB"/>
              </w:rPr>
            </w:pPr>
            <w:r w:rsidRPr="00C1470E">
              <w:rPr>
                <w:rFonts w:ascii="Arial" w:eastAsia="Times New Roman" w:hAnsi="Arial" w:cs="Arial"/>
                <w:sz w:val="20"/>
                <w:szCs w:val="20"/>
                <w:lang w:val="en-GB"/>
              </w:rPr>
              <w:t> </w:t>
            </w:r>
          </w:p>
        </w:tc>
      </w:tr>
      <w:tr w:rsidR="0077717F" w:rsidRPr="00C1470E" w:rsidTr="00AA01A7">
        <w:trPr>
          <w:trHeight w:val="255"/>
          <w:jc w:val="center"/>
        </w:trPr>
        <w:tc>
          <w:tcPr>
            <w:tcW w:w="1808" w:type="pct"/>
            <w:tcBorders>
              <w:top w:val="nil"/>
            </w:tcBorders>
            <w:vAlign w:val="center"/>
            <w:hideMark/>
          </w:tcPr>
          <w:p w:rsidR="0077717F" w:rsidRPr="00C1470E" w:rsidRDefault="0077717F" w:rsidP="00AA01A7">
            <w:pPr>
              <w:rPr>
                <w:rFonts w:ascii="Arial" w:eastAsia="Times New Roman" w:hAnsi="Arial" w:cs="Arial"/>
                <w:sz w:val="20"/>
                <w:szCs w:val="20"/>
                <w:lang w:val="en-GB"/>
              </w:rPr>
            </w:pPr>
            <w:r w:rsidRPr="00C1470E">
              <w:rPr>
                <w:rFonts w:ascii="Arial" w:eastAsia="Times New Roman" w:hAnsi="Arial" w:cs="Arial"/>
                <w:sz w:val="20"/>
                <w:szCs w:val="20"/>
                <w:lang w:val="en-GB"/>
              </w:rPr>
              <w:t>PC</w:t>
            </w:r>
          </w:p>
        </w:tc>
        <w:tc>
          <w:tcPr>
            <w:tcW w:w="1063" w:type="pct"/>
            <w:tcBorders>
              <w:top w:val="nil"/>
            </w:tcBorders>
            <w:vAlign w:val="center"/>
          </w:tcPr>
          <w:p w:rsidR="0077717F" w:rsidRPr="00C1470E" w:rsidRDefault="0077717F"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1,811,343</w:t>
            </w:r>
          </w:p>
        </w:tc>
        <w:tc>
          <w:tcPr>
            <w:tcW w:w="1064" w:type="pct"/>
            <w:tcBorders>
              <w:top w:val="nil"/>
            </w:tcBorders>
            <w:vAlign w:val="center"/>
          </w:tcPr>
          <w:p w:rsidR="0077717F" w:rsidRPr="00C1470E" w:rsidRDefault="0077717F"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1,837,737</w:t>
            </w:r>
          </w:p>
        </w:tc>
        <w:tc>
          <w:tcPr>
            <w:tcW w:w="1064" w:type="pct"/>
            <w:tcBorders>
              <w:top w:val="nil"/>
            </w:tcBorders>
            <w:vAlign w:val="center"/>
          </w:tcPr>
          <w:p w:rsidR="0077717F" w:rsidRPr="00C1470E" w:rsidRDefault="0077717F"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-1.4</w:t>
            </w:r>
          </w:p>
        </w:tc>
      </w:tr>
      <w:tr w:rsidR="0077717F" w:rsidRPr="00C1470E" w:rsidTr="00AA01A7">
        <w:trPr>
          <w:cnfStyle w:val="000000100000" w:firstRow="0" w:lastRow="0" w:firstColumn="0" w:lastColumn="0" w:oddVBand="0" w:evenVBand="0" w:oddHBand="1" w:evenHBand="0" w:firstRowFirstColumn="0" w:firstRowLastColumn="0" w:lastRowFirstColumn="0" w:lastRowLastColumn="0"/>
          <w:trHeight w:val="255"/>
          <w:jc w:val="center"/>
        </w:trPr>
        <w:tc>
          <w:tcPr>
            <w:tcW w:w="1808" w:type="pct"/>
            <w:vAlign w:val="center"/>
            <w:hideMark/>
          </w:tcPr>
          <w:p w:rsidR="0077717F" w:rsidRPr="00C1470E" w:rsidRDefault="0077717F" w:rsidP="00AA01A7">
            <w:pPr>
              <w:rPr>
                <w:rFonts w:ascii="Arial" w:eastAsia="Times New Roman" w:hAnsi="Arial" w:cs="Arial"/>
                <w:sz w:val="20"/>
                <w:szCs w:val="20"/>
                <w:lang w:val="en-GB"/>
              </w:rPr>
            </w:pPr>
            <w:r w:rsidRPr="00C1470E">
              <w:rPr>
                <w:rFonts w:ascii="Arial" w:eastAsia="Times New Roman" w:hAnsi="Arial" w:cs="Arial"/>
                <w:sz w:val="20"/>
                <w:szCs w:val="20"/>
                <w:lang w:val="en-GB"/>
              </w:rPr>
              <w:t>LCV</w:t>
            </w:r>
          </w:p>
        </w:tc>
        <w:tc>
          <w:tcPr>
            <w:tcW w:w="1063" w:type="pct"/>
            <w:vAlign w:val="center"/>
          </w:tcPr>
          <w:p w:rsidR="0077717F" w:rsidRPr="00C1470E" w:rsidRDefault="00AA01A7"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307,501</w:t>
            </w:r>
          </w:p>
        </w:tc>
        <w:tc>
          <w:tcPr>
            <w:tcW w:w="1064" w:type="pct"/>
            <w:vAlign w:val="center"/>
          </w:tcPr>
          <w:p w:rsidR="0077717F" w:rsidRPr="00C1470E" w:rsidRDefault="0077717F"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293,753</w:t>
            </w:r>
          </w:p>
        </w:tc>
        <w:tc>
          <w:tcPr>
            <w:tcW w:w="1064" w:type="pct"/>
            <w:vAlign w:val="center"/>
          </w:tcPr>
          <w:p w:rsidR="0077717F" w:rsidRPr="00C1470E" w:rsidRDefault="00AA01A7"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4.7</w:t>
            </w:r>
          </w:p>
        </w:tc>
      </w:tr>
      <w:tr w:rsidR="0077717F" w:rsidRPr="00C1470E" w:rsidTr="00AA01A7">
        <w:trPr>
          <w:trHeight w:val="255"/>
          <w:jc w:val="center"/>
        </w:trPr>
        <w:tc>
          <w:tcPr>
            <w:tcW w:w="1808" w:type="pct"/>
            <w:tcBorders>
              <w:bottom w:val="nil"/>
            </w:tcBorders>
            <w:vAlign w:val="center"/>
            <w:hideMark/>
          </w:tcPr>
          <w:p w:rsidR="0077717F" w:rsidRPr="00C1470E" w:rsidRDefault="0077717F" w:rsidP="00AA01A7">
            <w:pPr>
              <w:rPr>
                <w:rFonts w:ascii="Arial" w:eastAsia="Times New Roman" w:hAnsi="Arial" w:cs="Arial"/>
                <w:b/>
                <w:sz w:val="20"/>
                <w:szCs w:val="20"/>
                <w:lang w:val="en-GB"/>
              </w:rPr>
            </w:pPr>
            <w:r w:rsidRPr="00C1470E">
              <w:rPr>
                <w:rFonts w:ascii="Arial" w:eastAsia="Times New Roman" w:hAnsi="Arial" w:cs="Arial"/>
                <w:b/>
                <w:sz w:val="20"/>
                <w:szCs w:val="20"/>
                <w:lang w:val="en-GB"/>
              </w:rPr>
              <w:t>PC+LCV</w:t>
            </w:r>
          </w:p>
        </w:tc>
        <w:tc>
          <w:tcPr>
            <w:tcW w:w="1063" w:type="pct"/>
            <w:tcBorders>
              <w:bottom w:val="nil"/>
            </w:tcBorders>
            <w:vAlign w:val="center"/>
          </w:tcPr>
          <w:p w:rsidR="0077717F" w:rsidRPr="00C1470E" w:rsidRDefault="00AA01A7" w:rsidP="00AA01A7">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2,118,844</w:t>
            </w:r>
          </w:p>
        </w:tc>
        <w:tc>
          <w:tcPr>
            <w:tcW w:w="1064" w:type="pct"/>
            <w:tcBorders>
              <w:bottom w:val="nil"/>
            </w:tcBorders>
            <w:vAlign w:val="center"/>
          </w:tcPr>
          <w:p w:rsidR="0077717F" w:rsidRPr="00C1470E" w:rsidRDefault="00AA01A7" w:rsidP="00AA01A7">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2,131,490</w:t>
            </w:r>
          </w:p>
        </w:tc>
        <w:tc>
          <w:tcPr>
            <w:tcW w:w="1064" w:type="pct"/>
            <w:tcBorders>
              <w:bottom w:val="nil"/>
            </w:tcBorders>
            <w:vAlign w:val="center"/>
          </w:tcPr>
          <w:p w:rsidR="0077717F" w:rsidRPr="00C1470E" w:rsidRDefault="0077717F" w:rsidP="00AA01A7">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-0.6</w:t>
            </w:r>
          </w:p>
        </w:tc>
      </w:tr>
      <w:tr w:rsidR="0077717F" w:rsidRPr="00C1470E" w:rsidTr="00AA01A7">
        <w:trPr>
          <w:cnfStyle w:val="000000100000" w:firstRow="0" w:lastRow="0" w:firstColumn="0" w:lastColumn="0" w:oddVBand="0" w:evenVBand="0" w:oddHBand="1" w:evenHBand="0" w:firstRowFirstColumn="0" w:firstRowLastColumn="0" w:lastRowFirstColumn="0" w:lastRowLastColumn="0"/>
          <w:trHeight w:val="255"/>
          <w:jc w:val="center"/>
        </w:trPr>
        <w:tc>
          <w:tcPr>
            <w:tcW w:w="1808" w:type="pct"/>
            <w:tcBorders>
              <w:top w:val="nil"/>
              <w:bottom w:val="nil"/>
            </w:tcBorders>
            <w:shd w:val="clear" w:color="auto" w:fill="95B3D7" w:themeFill="accent1" w:themeFillTint="99"/>
            <w:vAlign w:val="center"/>
            <w:hideMark/>
          </w:tcPr>
          <w:p w:rsidR="0077717F" w:rsidRPr="00C1470E" w:rsidRDefault="0077717F" w:rsidP="00AA01A7">
            <w:pPr>
              <w:rPr>
                <w:rStyle w:val="lev"/>
                <w:rFonts w:ascii="Arial" w:hAnsi="Arial" w:cs="Arial"/>
                <w:sz w:val="20"/>
                <w:szCs w:val="20"/>
                <w:lang w:val="en-GB"/>
              </w:rPr>
            </w:pPr>
            <w:r w:rsidRPr="00C1470E">
              <w:rPr>
                <w:rStyle w:val="lev"/>
                <w:rFonts w:ascii="Arial" w:eastAsia="Times New Roman" w:hAnsi="Arial" w:cs="Arial"/>
                <w:sz w:val="20"/>
                <w:szCs w:val="20"/>
                <w:lang w:val="en-GB"/>
              </w:rPr>
              <w:t>DACIA</w:t>
            </w:r>
          </w:p>
        </w:tc>
        <w:tc>
          <w:tcPr>
            <w:tcW w:w="1063" w:type="pct"/>
            <w:tcBorders>
              <w:top w:val="nil"/>
              <w:bottom w:val="nil"/>
            </w:tcBorders>
            <w:shd w:val="clear" w:color="auto" w:fill="95B3D7" w:themeFill="accent1" w:themeFillTint="99"/>
            <w:vAlign w:val="center"/>
          </w:tcPr>
          <w:p w:rsidR="0077717F" w:rsidRPr="00C1470E" w:rsidRDefault="0077717F" w:rsidP="00AA01A7">
            <w:pPr>
              <w:jc w:val="right"/>
              <w:rPr>
                <w:rStyle w:val="lev"/>
                <w:lang w:val="en-GB"/>
              </w:rPr>
            </w:pPr>
          </w:p>
        </w:tc>
        <w:tc>
          <w:tcPr>
            <w:tcW w:w="1064" w:type="pct"/>
            <w:tcBorders>
              <w:top w:val="nil"/>
              <w:bottom w:val="nil"/>
            </w:tcBorders>
            <w:shd w:val="clear" w:color="auto" w:fill="95B3D7" w:themeFill="accent1" w:themeFillTint="99"/>
            <w:vAlign w:val="center"/>
          </w:tcPr>
          <w:p w:rsidR="0077717F" w:rsidRPr="00C1470E" w:rsidRDefault="0077717F" w:rsidP="00AA01A7">
            <w:pPr>
              <w:jc w:val="right"/>
              <w:rPr>
                <w:rStyle w:val="lev"/>
                <w:lang w:val="en-GB"/>
              </w:rPr>
            </w:pPr>
          </w:p>
        </w:tc>
        <w:tc>
          <w:tcPr>
            <w:tcW w:w="1064" w:type="pct"/>
            <w:tcBorders>
              <w:top w:val="nil"/>
              <w:bottom w:val="nil"/>
            </w:tcBorders>
            <w:shd w:val="clear" w:color="auto" w:fill="95B3D7" w:themeFill="accent1" w:themeFillTint="99"/>
            <w:vAlign w:val="center"/>
          </w:tcPr>
          <w:p w:rsidR="0077717F" w:rsidRPr="00C1470E" w:rsidRDefault="0077717F" w:rsidP="00AA01A7">
            <w:pPr>
              <w:jc w:val="right"/>
              <w:rPr>
                <w:rStyle w:val="lev"/>
                <w:lang w:val="en-GB"/>
              </w:rPr>
            </w:pPr>
          </w:p>
        </w:tc>
      </w:tr>
      <w:tr w:rsidR="0077717F" w:rsidRPr="00C1470E" w:rsidTr="00AA01A7">
        <w:trPr>
          <w:trHeight w:val="255"/>
          <w:jc w:val="center"/>
        </w:trPr>
        <w:tc>
          <w:tcPr>
            <w:tcW w:w="1808" w:type="pct"/>
            <w:tcBorders>
              <w:top w:val="nil"/>
            </w:tcBorders>
            <w:vAlign w:val="center"/>
            <w:hideMark/>
          </w:tcPr>
          <w:p w:rsidR="0077717F" w:rsidRPr="00C1470E" w:rsidRDefault="0077717F" w:rsidP="00AA01A7">
            <w:pPr>
              <w:rPr>
                <w:rFonts w:ascii="Arial" w:eastAsia="Times New Roman" w:hAnsi="Arial" w:cs="Arial"/>
                <w:sz w:val="20"/>
                <w:szCs w:val="20"/>
                <w:lang w:val="en-GB"/>
              </w:rPr>
            </w:pPr>
            <w:r w:rsidRPr="00C1470E">
              <w:rPr>
                <w:rFonts w:ascii="Arial" w:eastAsia="Times New Roman" w:hAnsi="Arial" w:cs="Arial"/>
                <w:sz w:val="20"/>
                <w:szCs w:val="20"/>
                <w:lang w:val="en-GB"/>
              </w:rPr>
              <w:t>PC</w:t>
            </w:r>
          </w:p>
        </w:tc>
        <w:tc>
          <w:tcPr>
            <w:tcW w:w="1063" w:type="pct"/>
            <w:tcBorders>
              <w:top w:val="nil"/>
            </w:tcBorders>
            <w:vAlign w:val="center"/>
          </w:tcPr>
          <w:p w:rsidR="0077717F" w:rsidRPr="00C1470E" w:rsidRDefault="00AA01A7"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474,624</w:t>
            </w:r>
          </w:p>
        </w:tc>
        <w:tc>
          <w:tcPr>
            <w:tcW w:w="1064" w:type="pct"/>
            <w:tcBorders>
              <w:top w:val="nil"/>
            </w:tcBorders>
            <w:vAlign w:val="center"/>
          </w:tcPr>
          <w:p w:rsidR="0077717F" w:rsidRPr="00C1470E" w:rsidRDefault="00AA01A7"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399,605</w:t>
            </w:r>
          </w:p>
        </w:tc>
        <w:tc>
          <w:tcPr>
            <w:tcW w:w="1064" w:type="pct"/>
            <w:tcBorders>
              <w:top w:val="nil"/>
            </w:tcBorders>
            <w:vAlign w:val="center"/>
          </w:tcPr>
          <w:p w:rsidR="0077717F" w:rsidRPr="00C1470E" w:rsidRDefault="00AA01A7"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18.8</w:t>
            </w:r>
          </w:p>
        </w:tc>
      </w:tr>
      <w:tr w:rsidR="0077717F" w:rsidRPr="00C1470E" w:rsidTr="00AA01A7">
        <w:trPr>
          <w:cnfStyle w:val="000000100000" w:firstRow="0" w:lastRow="0" w:firstColumn="0" w:lastColumn="0" w:oddVBand="0" w:evenVBand="0" w:oddHBand="1" w:evenHBand="0" w:firstRowFirstColumn="0" w:firstRowLastColumn="0" w:lastRowFirstColumn="0" w:lastRowLastColumn="0"/>
          <w:trHeight w:val="255"/>
          <w:jc w:val="center"/>
        </w:trPr>
        <w:tc>
          <w:tcPr>
            <w:tcW w:w="1808" w:type="pct"/>
            <w:vAlign w:val="center"/>
            <w:hideMark/>
          </w:tcPr>
          <w:p w:rsidR="0077717F" w:rsidRPr="00C1470E" w:rsidRDefault="0077717F" w:rsidP="00AA01A7">
            <w:pPr>
              <w:rPr>
                <w:rFonts w:ascii="Arial" w:eastAsia="Times New Roman" w:hAnsi="Arial" w:cs="Arial"/>
                <w:sz w:val="20"/>
                <w:szCs w:val="20"/>
                <w:lang w:val="en-GB"/>
              </w:rPr>
            </w:pPr>
            <w:r w:rsidRPr="00C1470E">
              <w:rPr>
                <w:rFonts w:ascii="Arial" w:eastAsia="Times New Roman" w:hAnsi="Arial" w:cs="Arial"/>
                <w:sz w:val="20"/>
                <w:szCs w:val="20"/>
                <w:lang w:val="en-GB"/>
              </w:rPr>
              <w:t>LCV</w:t>
            </w:r>
          </w:p>
        </w:tc>
        <w:tc>
          <w:tcPr>
            <w:tcW w:w="1063" w:type="pct"/>
            <w:vAlign w:val="center"/>
          </w:tcPr>
          <w:p w:rsidR="0077717F" w:rsidRPr="00C1470E" w:rsidRDefault="00AA01A7"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36,841</w:t>
            </w:r>
          </w:p>
        </w:tc>
        <w:tc>
          <w:tcPr>
            <w:tcW w:w="1064" w:type="pct"/>
            <w:vAlign w:val="center"/>
          </w:tcPr>
          <w:p w:rsidR="0077717F" w:rsidRPr="00C1470E" w:rsidRDefault="0077717F"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29,991</w:t>
            </w:r>
          </w:p>
        </w:tc>
        <w:tc>
          <w:tcPr>
            <w:tcW w:w="1064" w:type="pct"/>
            <w:vAlign w:val="center"/>
          </w:tcPr>
          <w:p w:rsidR="0077717F" w:rsidRPr="00C1470E" w:rsidRDefault="0077717F"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22.8</w:t>
            </w:r>
          </w:p>
        </w:tc>
      </w:tr>
      <w:tr w:rsidR="0077717F" w:rsidRPr="00C1470E" w:rsidTr="00AA01A7">
        <w:trPr>
          <w:trHeight w:val="255"/>
          <w:jc w:val="center"/>
        </w:trPr>
        <w:tc>
          <w:tcPr>
            <w:tcW w:w="1808" w:type="pct"/>
            <w:tcBorders>
              <w:bottom w:val="nil"/>
            </w:tcBorders>
            <w:vAlign w:val="center"/>
            <w:hideMark/>
          </w:tcPr>
          <w:p w:rsidR="0077717F" w:rsidRPr="00C1470E" w:rsidRDefault="0077717F" w:rsidP="00AA01A7">
            <w:pPr>
              <w:rPr>
                <w:rFonts w:ascii="Arial" w:eastAsia="Times New Roman" w:hAnsi="Arial" w:cs="Arial"/>
                <w:b/>
                <w:sz w:val="20"/>
                <w:szCs w:val="20"/>
                <w:lang w:val="en-GB"/>
              </w:rPr>
            </w:pPr>
            <w:r w:rsidRPr="00C1470E">
              <w:rPr>
                <w:rFonts w:ascii="Arial" w:eastAsia="Times New Roman" w:hAnsi="Arial" w:cs="Arial"/>
                <w:b/>
                <w:sz w:val="20"/>
                <w:szCs w:val="20"/>
                <w:lang w:val="en-GB"/>
              </w:rPr>
              <w:t>PC+LCV</w:t>
            </w:r>
          </w:p>
        </w:tc>
        <w:tc>
          <w:tcPr>
            <w:tcW w:w="1063" w:type="pct"/>
            <w:tcBorders>
              <w:bottom w:val="nil"/>
            </w:tcBorders>
            <w:vAlign w:val="center"/>
          </w:tcPr>
          <w:p w:rsidR="0077717F" w:rsidRPr="00C1470E" w:rsidRDefault="00AA01A7" w:rsidP="00AA01A7">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511,465</w:t>
            </w:r>
          </w:p>
        </w:tc>
        <w:tc>
          <w:tcPr>
            <w:tcW w:w="1064" w:type="pct"/>
            <w:tcBorders>
              <w:bottom w:val="nil"/>
            </w:tcBorders>
            <w:vAlign w:val="center"/>
          </w:tcPr>
          <w:p w:rsidR="0077717F" w:rsidRPr="00C1470E" w:rsidRDefault="00AA01A7" w:rsidP="00AA01A7">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429,596</w:t>
            </w:r>
          </w:p>
        </w:tc>
        <w:tc>
          <w:tcPr>
            <w:tcW w:w="1064" w:type="pct"/>
            <w:tcBorders>
              <w:bottom w:val="nil"/>
            </w:tcBorders>
            <w:vAlign w:val="center"/>
          </w:tcPr>
          <w:p w:rsidR="0077717F" w:rsidRPr="00C1470E" w:rsidRDefault="00AA01A7" w:rsidP="00AA01A7">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19.1</w:t>
            </w:r>
          </w:p>
        </w:tc>
      </w:tr>
      <w:tr w:rsidR="0077717F" w:rsidRPr="00C1470E" w:rsidTr="00AA01A7">
        <w:trPr>
          <w:cnfStyle w:val="000000100000" w:firstRow="0" w:lastRow="0" w:firstColumn="0" w:lastColumn="0" w:oddVBand="0" w:evenVBand="0" w:oddHBand="1" w:evenHBand="0" w:firstRowFirstColumn="0" w:firstRowLastColumn="0" w:lastRowFirstColumn="0" w:lastRowLastColumn="0"/>
          <w:trHeight w:val="255"/>
          <w:jc w:val="center"/>
        </w:trPr>
        <w:tc>
          <w:tcPr>
            <w:tcW w:w="1808" w:type="pct"/>
            <w:tcBorders>
              <w:top w:val="nil"/>
              <w:bottom w:val="nil"/>
            </w:tcBorders>
            <w:shd w:val="clear" w:color="auto" w:fill="95B3D7" w:themeFill="accent1" w:themeFillTint="99"/>
            <w:vAlign w:val="center"/>
            <w:hideMark/>
          </w:tcPr>
          <w:p w:rsidR="0077717F" w:rsidRPr="00C1470E" w:rsidRDefault="0077717F" w:rsidP="00AA01A7">
            <w:pPr>
              <w:rPr>
                <w:rStyle w:val="lev"/>
                <w:rFonts w:ascii="Arial" w:hAnsi="Arial" w:cs="Arial"/>
                <w:sz w:val="20"/>
                <w:szCs w:val="20"/>
                <w:lang w:val="en-GB"/>
              </w:rPr>
            </w:pPr>
            <w:r w:rsidRPr="00C1470E">
              <w:rPr>
                <w:rStyle w:val="lev"/>
                <w:rFonts w:ascii="Arial" w:eastAsia="Times New Roman" w:hAnsi="Arial" w:cs="Arial"/>
                <w:sz w:val="20"/>
                <w:szCs w:val="20"/>
                <w:lang w:val="en-GB"/>
              </w:rPr>
              <w:t>RENAULT SAMSUNG MOTORS</w:t>
            </w:r>
          </w:p>
        </w:tc>
        <w:tc>
          <w:tcPr>
            <w:tcW w:w="1063" w:type="pct"/>
            <w:tcBorders>
              <w:top w:val="nil"/>
              <w:bottom w:val="nil"/>
            </w:tcBorders>
            <w:shd w:val="clear" w:color="auto" w:fill="95B3D7" w:themeFill="accent1" w:themeFillTint="99"/>
            <w:vAlign w:val="center"/>
          </w:tcPr>
          <w:p w:rsidR="0077717F" w:rsidRPr="00C1470E" w:rsidRDefault="0077717F" w:rsidP="00AA01A7">
            <w:pPr>
              <w:jc w:val="right"/>
              <w:rPr>
                <w:rStyle w:val="lev"/>
                <w:lang w:val="en-GB"/>
              </w:rPr>
            </w:pPr>
          </w:p>
        </w:tc>
        <w:tc>
          <w:tcPr>
            <w:tcW w:w="1064" w:type="pct"/>
            <w:tcBorders>
              <w:top w:val="nil"/>
              <w:bottom w:val="nil"/>
            </w:tcBorders>
            <w:shd w:val="clear" w:color="auto" w:fill="95B3D7" w:themeFill="accent1" w:themeFillTint="99"/>
            <w:vAlign w:val="center"/>
          </w:tcPr>
          <w:p w:rsidR="0077717F" w:rsidRPr="00C1470E" w:rsidRDefault="0077717F" w:rsidP="00AA01A7">
            <w:pPr>
              <w:jc w:val="right"/>
              <w:rPr>
                <w:rStyle w:val="lev"/>
                <w:lang w:val="en-GB"/>
              </w:rPr>
            </w:pPr>
          </w:p>
        </w:tc>
        <w:tc>
          <w:tcPr>
            <w:tcW w:w="1064" w:type="pct"/>
            <w:tcBorders>
              <w:top w:val="nil"/>
              <w:bottom w:val="nil"/>
            </w:tcBorders>
            <w:shd w:val="clear" w:color="auto" w:fill="95B3D7" w:themeFill="accent1" w:themeFillTint="99"/>
            <w:vAlign w:val="center"/>
          </w:tcPr>
          <w:p w:rsidR="0077717F" w:rsidRPr="00C1470E" w:rsidRDefault="0077717F" w:rsidP="00AA01A7">
            <w:pPr>
              <w:jc w:val="right"/>
              <w:rPr>
                <w:rStyle w:val="lev"/>
                <w:lang w:val="en-GB"/>
              </w:rPr>
            </w:pPr>
          </w:p>
        </w:tc>
      </w:tr>
      <w:tr w:rsidR="0077717F" w:rsidRPr="00C1470E" w:rsidTr="00AA01A7">
        <w:trPr>
          <w:trHeight w:val="255"/>
          <w:jc w:val="center"/>
        </w:trPr>
        <w:tc>
          <w:tcPr>
            <w:tcW w:w="1808" w:type="pct"/>
            <w:tcBorders>
              <w:top w:val="nil"/>
              <w:bottom w:val="nil"/>
            </w:tcBorders>
            <w:vAlign w:val="center"/>
            <w:hideMark/>
          </w:tcPr>
          <w:p w:rsidR="0077717F" w:rsidRPr="00C1470E" w:rsidRDefault="0077717F" w:rsidP="00AA01A7">
            <w:pPr>
              <w:rPr>
                <w:rFonts w:ascii="Arial" w:eastAsia="Times New Roman" w:hAnsi="Arial" w:cs="Arial"/>
                <w:sz w:val="20"/>
                <w:szCs w:val="20"/>
                <w:lang w:val="en-GB"/>
              </w:rPr>
            </w:pPr>
            <w:r w:rsidRPr="00C1470E">
              <w:rPr>
                <w:rFonts w:ascii="Arial" w:eastAsia="Times New Roman" w:hAnsi="Arial" w:cs="Arial"/>
                <w:sz w:val="20"/>
                <w:szCs w:val="20"/>
                <w:lang w:val="en-GB"/>
              </w:rPr>
              <w:t>PC</w:t>
            </w:r>
          </w:p>
        </w:tc>
        <w:tc>
          <w:tcPr>
            <w:tcW w:w="1063" w:type="pct"/>
            <w:tcBorders>
              <w:top w:val="nil"/>
              <w:bottom w:val="nil"/>
            </w:tcBorders>
            <w:vAlign w:val="center"/>
          </w:tcPr>
          <w:p w:rsidR="0077717F" w:rsidRPr="00C1470E" w:rsidRDefault="00AA01A7" w:rsidP="00AA01A7">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82,123</w:t>
            </w:r>
          </w:p>
        </w:tc>
        <w:tc>
          <w:tcPr>
            <w:tcW w:w="1064" w:type="pct"/>
            <w:tcBorders>
              <w:top w:val="nil"/>
              <w:bottom w:val="nil"/>
            </w:tcBorders>
            <w:vAlign w:val="center"/>
          </w:tcPr>
          <w:p w:rsidR="0077717F" w:rsidRPr="00C1470E" w:rsidRDefault="00AA01A7" w:rsidP="00AA01A7">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67,097</w:t>
            </w:r>
          </w:p>
        </w:tc>
        <w:tc>
          <w:tcPr>
            <w:tcW w:w="1064" w:type="pct"/>
            <w:tcBorders>
              <w:top w:val="nil"/>
              <w:bottom w:val="nil"/>
            </w:tcBorders>
            <w:vAlign w:val="center"/>
          </w:tcPr>
          <w:p w:rsidR="0077717F" w:rsidRPr="00C1470E" w:rsidRDefault="00AA01A7" w:rsidP="00AA01A7">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22.4</w:t>
            </w:r>
          </w:p>
        </w:tc>
      </w:tr>
      <w:tr w:rsidR="0077717F" w:rsidRPr="00C1470E" w:rsidTr="00AA01A7">
        <w:trPr>
          <w:cnfStyle w:val="000000100000" w:firstRow="0" w:lastRow="0" w:firstColumn="0" w:lastColumn="0" w:oddVBand="0" w:evenVBand="0" w:oddHBand="1" w:evenHBand="0" w:firstRowFirstColumn="0" w:firstRowLastColumn="0" w:lastRowFirstColumn="0" w:lastRowLastColumn="0"/>
          <w:trHeight w:val="255"/>
          <w:jc w:val="center"/>
        </w:trPr>
        <w:tc>
          <w:tcPr>
            <w:tcW w:w="1808" w:type="pct"/>
            <w:tcBorders>
              <w:top w:val="nil"/>
              <w:bottom w:val="nil"/>
            </w:tcBorders>
            <w:shd w:val="clear" w:color="auto" w:fill="95B3D7" w:themeFill="accent1" w:themeFillTint="99"/>
            <w:vAlign w:val="center"/>
            <w:hideMark/>
          </w:tcPr>
          <w:p w:rsidR="0077717F" w:rsidRPr="00C1470E" w:rsidRDefault="0077717F" w:rsidP="00AA01A7">
            <w:pPr>
              <w:rPr>
                <w:rFonts w:ascii="Arial" w:eastAsia="Times New Roman" w:hAnsi="Arial" w:cs="Arial"/>
                <w:sz w:val="20"/>
                <w:szCs w:val="20"/>
                <w:lang w:val="en-GB"/>
              </w:rPr>
            </w:pPr>
            <w:r w:rsidRPr="00C1470E">
              <w:rPr>
                <w:rStyle w:val="lev"/>
                <w:rFonts w:ascii="Arial" w:eastAsia="Times New Roman" w:hAnsi="Arial" w:cs="Arial"/>
                <w:sz w:val="20"/>
                <w:szCs w:val="20"/>
                <w:lang w:val="en-GB"/>
              </w:rPr>
              <w:t>RENAULT GROUP</w:t>
            </w:r>
          </w:p>
        </w:tc>
        <w:tc>
          <w:tcPr>
            <w:tcW w:w="1063" w:type="pct"/>
            <w:tcBorders>
              <w:top w:val="nil"/>
              <w:bottom w:val="nil"/>
            </w:tcBorders>
            <w:shd w:val="clear" w:color="auto" w:fill="95B3D7" w:themeFill="accent1" w:themeFillTint="99"/>
            <w:vAlign w:val="center"/>
          </w:tcPr>
          <w:p w:rsidR="0077717F" w:rsidRPr="00C1470E" w:rsidRDefault="0077717F" w:rsidP="00AA01A7">
            <w:pPr>
              <w:jc w:val="right"/>
              <w:rPr>
                <w:rFonts w:ascii="Arial" w:eastAsia="Times New Roman" w:hAnsi="Arial" w:cs="Arial"/>
                <w:sz w:val="20"/>
                <w:szCs w:val="20"/>
                <w:lang w:val="en-GB"/>
              </w:rPr>
            </w:pPr>
          </w:p>
        </w:tc>
        <w:tc>
          <w:tcPr>
            <w:tcW w:w="1064" w:type="pct"/>
            <w:tcBorders>
              <w:top w:val="nil"/>
              <w:bottom w:val="nil"/>
            </w:tcBorders>
            <w:shd w:val="clear" w:color="auto" w:fill="95B3D7" w:themeFill="accent1" w:themeFillTint="99"/>
            <w:vAlign w:val="center"/>
          </w:tcPr>
          <w:p w:rsidR="0077717F" w:rsidRPr="00C1470E" w:rsidRDefault="0077717F" w:rsidP="00AA01A7">
            <w:pPr>
              <w:jc w:val="right"/>
              <w:rPr>
                <w:rFonts w:ascii="Arial" w:eastAsia="Times New Roman" w:hAnsi="Arial" w:cs="Arial"/>
                <w:sz w:val="20"/>
                <w:szCs w:val="20"/>
                <w:lang w:val="en-GB"/>
              </w:rPr>
            </w:pPr>
          </w:p>
        </w:tc>
        <w:tc>
          <w:tcPr>
            <w:tcW w:w="1064" w:type="pct"/>
            <w:tcBorders>
              <w:top w:val="nil"/>
              <w:bottom w:val="nil"/>
            </w:tcBorders>
            <w:shd w:val="clear" w:color="auto" w:fill="95B3D7" w:themeFill="accent1" w:themeFillTint="99"/>
            <w:vAlign w:val="center"/>
          </w:tcPr>
          <w:p w:rsidR="0077717F" w:rsidRPr="00C1470E" w:rsidRDefault="0077717F" w:rsidP="00AA01A7">
            <w:pPr>
              <w:jc w:val="right"/>
              <w:rPr>
                <w:rFonts w:ascii="Arial" w:eastAsia="Times New Roman" w:hAnsi="Arial" w:cs="Arial"/>
                <w:sz w:val="20"/>
                <w:szCs w:val="20"/>
                <w:lang w:val="en-GB"/>
              </w:rPr>
            </w:pPr>
          </w:p>
        </w:tc>
      </w:tr>
      <w:tr w:rsidR="0077717F" w:rsidRPr="00C1470E" w:rsidTr="00AA01A7">
        <w:trPr>
          <w:trHeight w:val="255"/>
          <w:jc w:val="center"/>
        </w:trPr>
        <w:tc>
          <w:tcPr>
            <w:tcW w:w="1808" w:type="pct"/>
            <w:tcBorders>
              <w:top w:val="nil"/>
            </w:tcBorders>
            <w:vAlign w:val="center"/>
            <w:hideMark/>
          </w:tcPr>
          <w:p w:rsidR="0077717F" w:rsidRPr="00C1470E" w:rsidRDefault="0077717F" w:rsidP="00AA01A7">
            <w:pPr>
              <w:rPr>
                <w:rFonts w:ascii="Arial" w:eastAsia="Times New Roman" w:hAnsi="Arial" w:cs="Arial"/>
                <w:sz w:val="20"/>
                <w:szCs w:val="20"/>
                <w:lang w:val="en-GB"/>
              </w:rPr>
            </w:pPr>
            <w:r w:rsidRPr="00C1470E">
              <w:rPr>
                <w:rFonts w:ascii="Arial" w:eastAsia="Times New Roman" w:hAnsi="Arial" w:cs="Arial"/>
                <w:sz w:val="20"/>
                <w:szCs w:val="20"/>
                <w:lang w:val="en-GB"/>
              </w:rPr>
              <w:t>PC</w:t>
            </w:r>
          </w:p>
        </w:tc>
        <w:tc>
          <w:tcPr>
            <w:tcW w:w="1063" w:type="pct"/>
            <w:tcBorders>
              <w:top w:val="nil"/>
            </w:tcBorders>
            <w:vAlign w:val="center"/>
          </w:tcPr>
          <w:p w:rsidR="0077717F" w:rsidRPr="00C1470E" w:rsidRDefault="0077717F"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2,368,090</w:t>
            </w:r>
          </w:p>
        </w:tc>
        <w:tc>
          <w:tcPr>
            <w:tcW w:w="1064" w:type="pct"/>
            <w:tcBorders>
              <w:top w:val="nil"/>
            </w:tcBorders>
            <w:vAlign w:val="center"/>
          </w:tcPr>
          <w:p w:rsidR="0077717F" w:rsidRPr="00C1470E" w:rsidRDefault="0077717F"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2,304,439</w:t>
            </w:r>
          </w:p>
        </w:tc>
        <w:tc>
          <w:tcPr>
            <w:tcW w:w="1064" w:type="pct"/>
            <w:tcBorders>
              <w:top w:val="nil"/>
            </w:tcBorders>
            <w:vAlign w:val="center"/>
          </w:tcPr>
          <w:p w:rsidR="0077717F" w:rsidRPr="00C1470E" w:rsidRDefault="0077717F" w:rsidP="00AA01A7">
            <w:pPr>
              <w:jc w:val="right"/>
              <w:rPr>
                <w:rFonts w:ascii="Arial" w:eastAsia="Times New Roman" w:hAnsi="Arial" w:cs="Arial"/>
                <w:sz w:val="20"/>
                <w:szCs w:val="20"/>
                <w:lang w:val="en-GB"/>
              </w:rPr>
            </w:pPr>
            <w:r w:rsidRPr="00C1470E">
              <w:rPr>
                <w:rFonts w:ascii="Arial" w:eastAsia="Times New Roman" w:hAnsi="Arial" w:cs="Arial"/>
                <w:sz w:val="20"/>
                <w:szCs w:val="20"/>
                <w:lang w:val="en-GB"/>
              </w:rPr>
              <w:t>2.8</w:t>
            </w:r>
          </w:p>
        </w:tc>
      </w:tr>
      <w:tr w:rsidR="0077717F" w:rsidRPr="00C1470E" w:rsidTr="00AA01A7">
        <w:trPr>
          <w:cnfStyle w:val="000000100000" w:firstRow="0" w:lastRow="0" w:firstColumn="0" w:lastColumn="0" w:oddVBand="0" w:evenVBand="0" w:oddHBand="1" w:evenHBand="0" w:firstRowFirstColumn="0" w:firstRowLastColumn="0" w:lastRowFirstColumn="0" w:lastRowLastColumn="0"/>
          <w:trHeight w:val="255"/>
          <w:jc w:val="center"/>
        </w:trPr>
        <w:tc>
          <w:tcPr>
            <w:tcW w:w="1808" w:type="pct"/>
            <w:vAlign w:val="center"/>
            <w:hideMark/>
          </w:tcPr>
          <w:p w:rsidR="0077717F" w:rsidRPr="00C1470E" w:rsidRDefault="0077717F" w:rsidP="00AA01A7">
            <w:pPr>
              <w:rPr>
                <w:rFonts w:ascii="Arial" w:eastAsia="Times New Roman" w:hAnsi="Arial" w:cs="Arial"/>
                <w:bCs/>
                <w:sz w:val="20"/>
                <w:szCs w:val="20"/>
                <w:lang w:val="en-GB"/>
              </w:rPr>
            </w:pPr>
            <w:r w:rsidRPr="00C1470E">
              <w:rPr>
                <w:rFonts w:ascii="Arial" w:eastAsia="Times New Roman" w:hAnsi="Arial" w:cs="Arial"/>
                <w:bCs/>
                <w:sz w:val="20"/>
                <w:szCs w:val="20"/>
                <w:lang w:val="en-GB"/>
              </w:rPr>
              <w:t>LCV</w:t>
            </w:r>
          </w:p>
        </w:tc>
        <w:tc>
          <w:tcPr>
            <w:tcW w:w="1063" w:type="pct"/>
            <w:vAlign w:val="center"/>
          </w:tcPr>
          <w:p w:rsidR="0077717F" w:rsidRPr="00C1470E" w:rsidRDefault="0077717F" w:rsidP="00AA01A7">
            <w:pPr>
              <w:jc w:val="right"/>
              <w:rPr>
                <w:rFonts w:ascii="Arial" w:eastAsia="Times New Roman" w:hAnsi="Arial" w:cs="Arial"/>
                <w:bCs/>
                <w:sz w:val="20"/>
                <w:szCs w:val="20"/>
                <w:lang w:val="en-GB"/>
              </w:rPr>
            </w:pPr>
            <w:r w:rsidRPr="00C1470E">
              <w:rPr>
                <w:rFonts w:ascii="Arial" w:eastAsia="Times New Roman" w:hAnsi="Arial" w:cs="Arial"/>
                <w:bCs/>
                <w:sz w:val="20"/>
                <w:szCs w:val="20"/>
                <w:lang w:val="en-GB"/>
              </w:rPr>
              <w:t>344,342</w:t>
            </w:r>
          </w:p>
        </w:tc>
        <w:tc>
          <w:tcPr>
            <w:tcW w:w="1064" w:type="pct"/>
            <w:vAlign w:val="center"/>
          </w:tcPr>
          <w:p w:rsidR="0077717F" w:rsidRPr="00C1470E" w:rsidRDefault="00AA01A7" w:rsidP="00AA01A7">
            <w:pPr>
              <w:jc w:val="right"/>
              <w:rPr>
                <w:rFonts w:ascii="Arial" w:eastAsia="Times New Roman" w:hAnsi="Arial" w:cs="Arial"/>
                <w:bCs/>
                <w:sz w:val="20"/>
                <w:szCs w:val="20"/>
                <w:lang w:val="en-GB"/>
              </w:rPr>
            </w:pPr>
            <w:r w:rsidRPr="00C1470E">
              <w:rPr>
                <w:rFonts w:ascii="Arial" w:eastAsia="Times New Roman" w:hAnsi="Arial" w:cs="Arial"/>
                <w:bCs/>
                <w:sz w:val="20"/>
                <w:szCs w:val="20"/>
                <w:lang w:val="en-GB"/>
              </w:rPr>
              <w:t>323,744</w:t>
            </w:r>
          </w:p>
        </w:tc>
        <w:tc>
          <w:tcPr>
            <w:tcW w:w="1064" w:type="pct"/>
            <w:vAlign w:val="center"/>
          </w:tcPr>
          <w:p w:rsidR="0077717F" w:rsidRPr="00C1470E" w:rsidRDefault="00AA01A7" w:rsidP="00AA01A7">
            <w:pPr>
              <w:jc w:val="right"/>
              <w:rPr>
                <w:rFonts w:ascii="Arial" w:eastAsia="Times New Roman" w:hAnsi="Arial" w:cs="Arial"/>
                <w:bCs/>
                <w:sz w:val="20"/>
                <w:szCs w:val="20"/>
                <w:lang w:val="en-GB"/>
              </w:rPr>
            </w:pPr>
            <w:r w:rsidRPr="00C1470E">
              <w:rPr>
                <w:rFonts w:ascii="Arial" w:eastAsia="Times New Roman" w:hAnsi="Arial" w:cs="Arial"/>
                <w:bCs/>
                <w:sz w:val="20"/>
                <w:szCs w:val="20"/>
                <w:lang w:val="en-GB"/>
              </w:rPr>
              <w:t>6.4</w:t>
            </w:r>
          </w:p>
        </w:tc>
      </w:tr>
      <w:tr w:rsidR="0077717F" w:rsidRPr="00C1470E" w:rsidTr="00AA01A7">
        <w:trPr>
          <w:trHeight w:val="255"/>
          <w:jc w:val="center"/>
        </w:trPr>
        <w:tc>
          <w:tcPr>
            <w:tcW w:w="1808" w:type="pct"/>
            <w:vAlign w:val="center"/>
            <w:hideMark/>
          </w:tcPr>
          <w:p w:rsidR="0077717F" w:rsidRPr="00C1470E" w:rsidRDefault="0077717F" w:rsidP="00AA01A7">
            <w:pPr>
              <w:rPr>
                <w:rFonts w:ascii="Arial" w:eastAsia="Times New Roman" w:hAnsi="Arial" w:cs="Arial"/>
                <w:sz w:val="20"/>
                <w:szCs w:val="20"/>
                <w:lang w:val="en-GB"/>
              </w:rPr>
            </w:pPr>
            <w:r w:rsidRPr="00C1470E">
              <w:rPr>
                <w:rStyle w:val="lev"/>
                <w:rFonts w:ascii="Arial" w:eastAsia="Times New Roman" w:hAnsi="Arial" w:cs="Arial"/>
                <w:sz w:val="20"/>
                <w:szCs w:val="20"/>
                <w:lang w:val="en-GB"/>
              </w:rPr>
              <w:t>PC+LCV</w:t>
            </w:r>
          </w:p>
        </w:tc>
        <w:tc>
          <w:tcPr>
            <w:tcW w:w="1063" w:type="pct"/>
            <w:vAlign w:val="center"/>
          </w:tcPr>
          <w:p w:rsidR="0077717F" w:rsidRPr="00C1470E" w:rsidRDefault="0077717F" w:rsidP="004A152F">
            <w:pPr>
              <w:pStyle w:val="Paragraphedeliste"/>
              <w:jc w:val="right"/>
              <w:rPr>
                <w:rFonts w:ascii="Arial" w:eastAsia="Times New Roman" w:hAnsi="Arial" w:cs="Arial"/>
                <w:b/>
                <w:sz w:val="20"/>
                <w:szCs w:val="20"/>
                <w:lang w:val="en-GB"/>
              </w:rPr>
            </w:pPr>
            <w:r w:rsidRPr="00C1470E">
              <w:rPr>
                <w:rFonts w:ascii="Arial" w:eastAsia="Times New Roman" w:hAnsi="Arial" w:cs="Arial"/>
                <w:b/>
                <w:sz w:val="20"/>
                <w:szCs w:val="20"/>
                <w:lang w:val="en-GB"/>
              </w:rPr>
              <w:t>2,712,432</w:t>
            </w:r>
          </w:p>
        </w:tc>
        <w:tc>
          <w:tcPr>
            <w:tcW w:w="1064" w:type="pct"/>
            <w:vAlign w:val="center"/>
          </w:tcPr>
          <w:p w:rsidR="0077717F" w:rsidRPr="00C1470E" w:rsidRDefault="0077717F" w:rsidP="00AA01A7">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2,628,183</w:t>
            </w:r>
          </w:p>
        </w:tc>
        <w:tc>
          <w:tcPr>
            <w:tcW w:w="1064" w:type="pct"/>
            <w:vAlign w:val="center"/>
          </w:tcPr>
          <w:p w:rsidR="0077717F" w:rsidRPr="00C1470E" w:rsidRDefault="00AA01A7" w:rsidP="00AA01A7">
            <w:pPr>
              <w:jc w:val="right"/>
              <w:rPr>
                <w:rFonts w:ascii="Arial" w:eastAsia="Times New Roman" w:hAnsi="Arial" w:cs="Arial"/>
                <w:b/>
                <w:sz w:val="20"/>
                <w:szCs w:val="20"/>
                <w:lang w:val="en-GB"/>
              </w:rPr>
            </w:pPr>
            <w:r w:rsidRPr="00C1470E">
              <w:rPr>
                <w:rFonts w:ascii="Arial" w:eastAsia="Times New Roman" w:hAnsi="Arial" w:cs="Arial"/>
                <w:b/>
                <w:sz w:val="20"/>
                <w:szCs w:val="20"/>
                <w:lang w:val="en-GB"/>
              </w:rPr>
              <w:t>3.2</w:t>
            </w:r>
          </w:p>
        </w:tc>
      </w:tr>
    </w:tbl>
    <w:p w:rsidR="00542316" w:rsidRPr="00C1470E" w:rsidRDefault="00542316">
      <w:pPr>
        <w:rPr>
          <w:rFonts w:ascii="Arial" w:hAnsi="Arial" w:cs="Arial"/>
          <w:b/>
          <w:sz w:val="21"/>
          <w:szCs w:val="21"/>
          <w:lang w:val="en-GB"/>
        </w:rPr>
      </w:pPr>
    </w:p>
    <w:p w:rsidR="00692739" w:rsidRPr="00C1470E" w:rsidRDefault="000F6B64" w:rsidP="00223DFF">
      <w:pPr>
        <w:ind w:firstLine="720"/>
        <w:rPr>
          <w:rFonts w:ascii="Arial" w:hAnsi="Arial" w:cs="Arial"/>
          <w:b/>
          <w:sz w:val="21"/>
          <w:szCs w:val="21"/>
          <w:lang w:val="en-GB"/>
        </w:rPr>
      </w:pPr>
      <w:r w:rsidRPr="00C1470E">
        <w:rPr>
          <w:rFonts w:ascii="Arial" w:hAnsi="Arial" w:cs="Arial"/>
          <w:b/>
          <w:sz w:val="21"/>
          <w:szCs w:val="21"/>
          <w:lang w:val="en-GB"/>
        </w:rPr>
        <w:t>The Group's main markets at end December 2014</w:t>
      </w:r>
    </w:p>
    <w:tbl>
      <w:tblPr>
        <w:tblStyle w:val="Trameclaire-Accent1"/>
        <w:tblW w:w="4229" w:type="pct"/>
        <w:jc w:val="center"/>
        <w:tblLayout w:type="fixed"/>
        <w:tblLook w:val="04A0" w:firstRow="1" w:lastRow="0" w:firstColumn="1" w:lastColumn="0" w:noHBand="0" w:noVBand="1"/>
      </w:tblPr>
      <w:tblGrid>
        <w:gridCol w:w="353"/>
        <w:gridCol w:w="1569"/>
        <w:gridCol w:w="1277"/>
        <w:gridCol w:w="1423"/>
        <w:gridCol w:w="439"/>
        <w:gridCol w:w="1627"/>
        <w:gridCol w:w="1471"/>
        <w:gridCol w:w="1417"/>
      </w:tblGrid>
      <w:tr w:rsidR="002353DF" w:rsidRPr="00C1470E" w:rsidTr="002353D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3" w:type="dxa"/>
            <w:vAlign w:val="center"/>
            <w:hideMark/>
          </w:tcPr>
          <w:p w:rsidR="002353DF" w:rsidRPr="00C1470E" w:rsidRDefault="002353DF" w:rsidP="00C66A51">
            <w:pPr>
              <w:rPr>
                <w:rFonts w:ascii="Arial" w:eastAsia="Times New Roman" w:hAnsi="Arial" w:cs="Arial"/>
                <w:sz w:val="20"/>
                <w:szCs w:val="20"/>
                <w:lang w:val="en-GB"/>
              </w:rPr>
            </w:pPr>
            <w:r w:rsidRPr="00C1470E">
              <w:rPr>
                <w:rFonts w:ascii="Arial" w:eastAsia="Times New Roman" w:hAnsi="Arial" w:cs="Arial"/>
                <w:sz w:val="20"/>
                <w:szCs w:val="20"/>
                <w:lang w:val="en-GB"/>
              </w:rPr>
              <w:t> </w:t>
            </w:r>
          </w:p>
        </w:tc>
        <w:tc>
          <w:tcPr>
            <w:tcW w:w="1569" w:type="dxa"/>
            <w:vAlign w:val="center"/>
            <w:hideMark/>
          </w:tcPr>
          <w:p w:rsidR="002353DF" w:rsidRPr="00C1470E" w:rsidRDefault="002353DF" w:rsidP="00C66A5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Style w:val="lev"/>
                <w:rFonts w:ascii="Arial" w:eastAsia="Times New Roman" w:hAnsi="Arial" w:cs="Arial"/>
                <w:sz w:val="20"/>
                <w:szCs w:val="20"/>
                <w:lang w:val="en-GB"/>
              </w:rPr>
              <w:t>Country</w:t>
            </w:r>
          </w:p>
        </w:tc>
        <w:tc>
          <w:tcPr>
            <w:tcW w:w="1277" w:type="dxa"/>
            <w:vAlign w:val="center"/>
            <w:hideMark/>
          </w:tcPr>
          <w:p w:rsidR="002353DF" w:rsidRPr="00C1470E" w:rsidRDefault="002353DF" w:rsidP="00C66A51">
            <w:pPr>
              <w:jc w:val="center"/>
              <w:cnfStyle w:val="100000000000" w:firstRow="1" w:lastRow="0" w:firstColumn="0" w:lastColumn="0" w:oddVBand="0" w:evenVBand="0" w:oddHBand="0" w:evenHBand="0" w:firstRowFirstColumn="0" w:firstRowLastColumn="0" w:lastRowFirstColumn="0" w:lastRowLastColumn="0"/>
              <w:rPr>
                <w:rStyle w:val="lev"/>
                <w:rFonts w:ascii="Arial" w:eastAsia="Times New Roman" w:hAnsi="Arial" w:cs="Arial"/>
                <w:b/>
                <w:sz w:val="20"/>
                <w:szCs w:val="20"/>
                <w:lang w:val="en-GB"/>
              </w:rPr>
            </w:pPr>
            <w:r w:rsidRPr="00C1470E">
              <w:rPr>
                <w:rStyle w:val="lev"/>
                <w:rFonts w:ascii="Arial" w:eastAsia="Times New Roman" w:hAnsi="Arial" w:cs="Arial"/>
                <w:sz w:val="20"/>
                <w:szCs w:val="20"/>
                <w:lang w:val="en-GB"/>
              </w:rPr>
              <w:t>Sales</w:t>
            </w:r>
          </w:p>
          <w:p w:rsidR="002353DF" w:rsidRPr="00C1470E" w:rsidRDefault="002353DF" w:rsidP="00C66A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Style w:val="lev"/>
                <w:rFonts w:ascii="Arial" w:eastAsia="Times New Roman" w:hAnsi="Arial" w:cs="Arial"/>
                <w:sz w:val="20"/>
                <w:szCs w:val="20"/>
                <w:lang w:val="en-GB"/>
              </w:rPr>
              <w:t>PC + LCV</w:t>
            </w:r>
          </w:p>
        </w:tc>
        <w:tc>
          <w:tcPr>
            <w:tcW w:w="1423" w:type="dxa"/>
            <w:vAlign w:val="center"/>
            <w:hideMark/>
          </w:tcPr>
          <w:p w:rsidR="002353DF" w:rsidRPr="00C1470E" w:rsidRDefault="002353DF" w:rsidP="00C66A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Style w:val="lev"/>
                <w:rFonts w:ascii="Arial" w:eastAsia="Times New Roman" w:hAnsi="Arial" w:cs="Arial"/>
                <w:sz w:val="20"/>
                <w:szCs w:val="20"/>
                <w:lang w:val="en-GB"/>
              </w:rPr>
              <w:t>Market share</w:t>
            </w:r>
          </w:p>
        </w:tc>
        <w:tc>
          <w:tcPr>
            <w:tcW w:w="439" w:type="dxa"/>
            <w:vAlign w:val="center"/>
          </w:tcPr>
          <w:p w:rsidR="002353DF" w:rsidRPr="00C1470E" w:rsidRDefault="002353DF" w:rsidP="00C66A51">
            <w:pPr>
              <w:cnfStyle w:val="100000000000" w:firstRow="1" w:lastRow="0" w:firstColumn="0" w:lastColumn="0" w:oddVBand="0" w:evenVBand="0" w:oddHBand="0" w:evenHBand="0" w:firstRowFirstColumn="0" w:firstRowLastColumn="0" w:lastRowFirstColumn="0" w:lastRowLastColumn="0"/>
              <w:rPr>
                <w:rStyle w:val="lev"/>
                <w:rFonts w:ascii="Arial" w:eastAsia="Times New Roman" w:hAnsi="Arial" w:cs="Arial"/>
                <w:sz w:val="20"/>
                <w:szCs w:val="20"/>
                <w:lang w:val="en-GB"/>
              </w:rPr>
            </w:pPr>
          </w:p>
        </w:tc>
        <w:tc>
          <w:tcPr>
            <w:tcW w:w="1627" w:type="dxa"/>
            <w:vAlign w:val="center"/>
          </w:tcPr>
          <w:p w:rsidR="002353DF" w:rsidRPr="00C1470E" w:rsidRDefault="002353DF" w:rsidP="00C66A5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Style w:val="lev"/>
                <w:rFonts w:ascii="Arial" w:eastAsia="Times New Roman" w:hAnsi="Arial" w:cs="Arial"/>
                <w:sz w:val="20"/>
                <w:szCs w:val="20"/>
                <w:lang w:val="en-GB"/>
              </w:rPr>
              <w:t>Country</w:t>
            </w:r>
          </w:p>
        </w:tc>
        <w:tc>
          <w:tcPr>
            <w:tcW w:w="1471" w:type="dxa"/>
            <w:vAlign w:val="center"/>
          </w:tcPr>
          <w:p w:rsidR="002353DF" w:rsidRPr="00C1470E" w:rsidRDefault="002353DF" w:rsidP="00C66A51">
            <w:pPr>
              <w:jc w:val="center"/>
              <w:cnfStyle w:val="100000000000" w:firstRow="1" w:lastRow="0" w:firstColumn="0" w:lastColumn="0" w:oddVBand="0" w:evenVBand="0" w:oddHBand="0" w:evenHBand="0" w:firstRowFirstColumn="0" w:firstRowLastColumn="0" w:lastRowFirstColumn="0" w:lastRowLastColumn="0"/>
              <w:rPr>
                <w:rStyle w:val="lev"/>
                <w:rFonts w:ascii="Arial" w:eastAsia="Times New Roman" w:hAnsi="Arial" w:cs="Arial"/>
                <w:b/>
                <w:sz w:val="20"/>
                <w:szCs w:val="20"/>
                <w:lang w:val="en-GB"/>
              </w:rPr>
            </w:pPr>
            <w:r w:rsidRPr="00C1470E">
              <w:rPr>
                <w:rStyle w:val="lev"/>
                <w:rFonts w:ascii="Arial" w:eastAsia="Times New Roman" w:hAnsi="Arial" w:cs="Arial"/>
                <w:sz w:val="20"/>
                <w:szCs w:val="20"/>
                <w:lang w:val="en-GB"/>
              </w:rPr>
              <w:t>Sales</w:t>
            </w:r>
          </w:p>
          <w:p w:rsidR="002353DF" w:rsidRPr="00C1470E" w:rsidRDefault="002353DF" w:rsidP="00C66A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Style w:val="lev"/>
                <w:rFonts w:ascii="Arial" w:eastAsia="Times New Roman" w:hAnsi="Arial" w:cs="Arial"/>
                <w:sz w:val="20"/>
                <w:szCs w:val="20"/>
                <w:lang w:val="en-GB"/>
              </w:rPr>
              <w:t>PC + LCV</w:t>
            </w:r>
          </w:p>
        </w:tc>
        <w:tc>
          <w:tcPr>
            <w:tcW w:w="1417" w:type="dxa"/>
            <w:vAlign w:val="center"/>
          </w:tcPr>
          <w:p w:rsidR="002353DF" w:rsidRPr="00C1470E" w:rsidRDefault="002353DF" w:rsidP="00C66A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Style w:val="lev"/>
                <w:rFonts w:ascii="Arial" w:eastAsia="Times New Roman" w:hAnsi="Arial" w:cs="Arial"/>
                <w:sz w:val="20"/>
                <w:szCs w:val="20"/>
                <w:lang w:val="en-GB"/>
              </w:rPr>
              <w:t>Market share</w:t>
            </w:r>
          </w:p>
        </w:tc>
      </w:tr>
      <w:tr w:rsidR="002353DF" w:rsidRPr="00C1470E" w:rsidTr="002353D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3" w:type="dxa"/>
            <w:vAlign w:val="center"/>
            <w:hideMark/>
          </w:tcPr>
          <w:p w:rsidR="002353DF" w:rsidRPr="00C1470E" w:rsidRDefault="002353DF" w:rsidP="00C66A51">
            <w:pPr>
              <w:rPr>
                <w:rFonts w:ascii="Arial" w:eastAsia="Times New Roman" w:hAnsi="Arial" w:cs="Arial"/>
                <w:sz w:val="20"/>
                <w:szCs w:val="20"/>
                <w:lang w:val="en-GB"/>
              </w:rPr>
            </w:pPr>
            <w:r w:rsidRPr="00C1470E">
              <w:rPr>
                <w:rFonts w:ascii="Arial" w:eastAsia="Times New Roman" w:hAnsi="Arial" w:cs="Arial"/>
                <w:sz w:val="20"/>
                <w:szCs w:val="20"/>
                <w:lang w:val="en-GB"/>
              </w:rPr>
              <w:t>1</w:t>
            </w:r>
          </w:p>
        </w:tc>
        <w:tc>
          <w:tcPr>
            <w:tcW w:w="1569" w:type="dxa"/>
            <w:vAlign w:val="center"/>
          </w:tcPr>
          <w:p w:rsidR="002353DF" w:rsidRPr="00C1470E" w:rsidRDefault="002353DF" w:rsidP="00C66A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FRANCE</w:t>
            </w:r>
          </w:p>
        </w:tc>
        <w:tc>
          <w:tcPr>
            <w:tcW w:w="1277" w:type="dxa"/>
            <w:vAlign w:val="center"/>
          </w:tcPr>
          <w:p w:rsidR="002353DF" w:rsidRPr="00C1470E" w:rsidRDefault="002353DF" w:rsidP="00971EC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577,601</w:t>
            </w:r>
          </w:p>
        </w:tc>
        <w:tc>
          <w:tcPr>
            <w:tcW w:w="1423" w:type="dxa"/>
            <w:vAlign w:val="center"/>
          </w:tcPr>
          <w:p w:rsidR="002353DF" w:rsidRPr="00C1470E" w:rsidRDefault="002353DF"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26.6%</w:t>
            </w:r>
          </w:p>
        </w:tc>
        <w:tc>
          <w:tcPr>
            <w:tcW w:w="439" w:type="dxa"/>
            <w:tcBorders>
              <w:top w:val="single" w:sz="8" w:space="0" w:color="4F81BD" w:themeColor="accent1"/>
              <w:bottom w:val="nil"/>
            </w:tcBorders>
            <w:vAlign w:val="center"/>
          </w:tcPr>
          <w:p w:rsidR="002353DF" w:rsidRPr="00C1470E" w:rsidRDefault="002353DF"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C1470E">
              <w:rPr>
                <w:rFonts w:ascii="Arial" w:eastAsia="Times New Roman" w:hAnsi="Arial" w:cs="Arial"/>
                <w:b/>
                <w:sz w:val="20"/>
                <w:szCs w:val="20"/>
                <w:lang w:val="en-GB"/>
              </w:rPr>
              <w:t>9</w:t>
            </w:r>
          </w:p>
        </w:tc>
        <w:tc>
          <w:tcPr>
            <w:tcW w:w="1627" w:type="dxa"/>
            <w:tcBorders>
              <w:top w:val="single" w:sz="8" w:space="0" w:color="4F81BD" w:themeColor="accent1"/>
              <w:bottom w:val="nil"/>
            </w:tcBorders>
            <w:vAlign w:val="center"/>
          </w:tcPr>
          <w:p w:rsidR="002353DF" w:rsidRPr="00C1470E" w:rsidRDefault="002353DF" w:rsidP="00C66A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ALGERIA</w:t>
            </w:r>
          </w:p>
        </w:tc>
        <w:tc>
          <w:tcPr>
            <w:tcW w:w="1471" w:type="dxa"/>
            <w:tcBorders>
              <w:top w:val="single" w:sz="8" w:space="0" w:color="4F81BD" w:themeColor="accent1"/>
              <w:bottom w:val="nil"/>
            </w:tcBorders>
            <w:vAlign w:val="center"/>
          </w:tcPr>
          <w:p w:rsidR="002353DF" w:rsidRPr="00C1470E" w:rsidRDefault="007D522E"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91,800</w:t>
            </w:r>
          </w:p>
        </w:tc>
        <w:tc>
          <w:tcPr>
            <w:tcW w:w="1417" w:type="dxa"/>
            <w:tcBorders>
              <w:top w:val="single" w:sz="8" w:space="0" w:color="4F81BD" w:themeColor="accent1"/>
              <w:bottom w:val="nil"/>
            </w:tcBorders>
            <w:vAlign w:val="center"/>
          </w:tcPr>
          <w:p w:rsidR="002353DF" w:rsidRPr="00C1470E" w:rsidRDefault="002353DF"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26.9%</w:t>
            </w:r>
          </w:p>
        </w:tc>
      </w:tr>
      <w:tr w:rsidR="002353DF" w:rsidRPr="00C1470E" w:rsidTr="002353DF">
        <w:trPr>
          <w:trHeight w:val="315"/>
          <w:jc w:val="center"/>
        </w:trPr>
        <w:tc>
          <w:tcPr>
            <w:cnfStyle w:val="001000000000" w:firstRow="0" w:lastRow="0" w:firstColumn="1" w:lastColumn="0" w:oddVBand="0" w:evenVBand="0" w:oddHBand="0" w:evenHBand="0" w:firstRowFirstColumn="0" w:firstRowLastColumn="0" w:lastRowFirstColumn="0" w:lastRowLastColumn="0"/>
            <w:tcW w:w="353" w:type="dxa"/>
            <w:vAlign w:val="center"/>
            <w:hideMark/>
          </w:tcPr>
          <w:p w:rsidR="002353DF" w:rsidRPr="00C1470E" w:rsidRDefault="002353DF" w:rsidP="00C66A51">
            <w:pPr>
              <w:rPr>
                <w:rFonts w:ascii="Arial" w:eastAsia="Times New Roman" w:hAnsi="Arial" w:cs="Arial"/>
                <w:sz w:val="20"/>
                <w:szCs w:val="20"/>
                <w:lang w:val="en-GB"/>
              </w:rPr>
            </w:pPr>
            <w:r w:rsidRPr="00C1470E">
              <w:rPr>
                <w:rFonts w:ascii="Arial" w:eastAsia="Times New Roman" w:hAnsi="Arial" w:cs="Arial"/>
                <w:sz w:val="20"/>
                <w:szCs w:val="20"/>
                <w:lang w:val="en-GB"/>
              </w:rPr>
              <w:t>2</w:t>
            </w:r>
          </w:p>
        </w:tc>
        <w:tc>
          <w:tcPr>
            <w:tcW w:w="1569" w:type="dxa"/>
            <w:vAlign w:val="center"/>
          </w:tcPr>
          <w:p w:rsidR="002353DF" w:rsidRPr="00C1470E" w:rsidRDefault="002353DF" w:rsidP="00C66A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BRAZIL</w:t>
            </w:r>
          </w:p>
        </w:tc>
        <w:tc>
          <w:tcPr>
            <w:tcW w:w="1277" w:type="dxa"/>
            <w:vAlign w:val="center"/>
          </w:tcPr>
          <w:p w:rsidR="002353DF" w:rsidRPr="00C1470E" w:rsidRDefault="002353DF" w:rsidP="00971EC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237,187</w:t>
            </w:r>
          </w:p>
        </w:tc>
        <w:tc>
          <w:tcPr>
            <w:tcW w:w="1423" w:type="dxa"/>
            <w:vAlign w:val="center"/>
          </w:tcPr>
          <w:p w:rsidR="002353DF" w:rsidRPr="00C1470E" w:rsidRDefault="002353DF"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7.1%</w:t>
            </w:r>
          </w:p>
        </w:tc>
        <w:tc>
          <w:tcPr>
            <w:tcW w:w="439" w:type="dxa"/>
            <w:tcBorders>
              <w:top w:val="nil"/>
            </w:tcBorders>
            <w:vAlign w:val="center"/>
          </w:tcPr>
          <w:p w:rsidR="002353DF" w:rsidRPr="00C1470E" w:rsidRDefault="002353DF"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C1470E">
              <w:rPr>
                <w:rFonts w:ascii="Arial" w:eastAsia="Times New Roman" w:hAnsi="Arial" w:cs="Arial"/>
                <w:b/>
                <w:sz w:val="20"/>
                <w:szCs w:val="20"/>
                <w:lang w:val="en-GB"/>
              </w:rPr>
              <w:t>10</w:t>
            </w:r>
          </w:p>
        </w:tc>
        <w:tc>
          <w:tcPr>
            <w:tcW w:w="1627" w:type="dxa"/>
            <w:tcBorders>
              <w:top w:val="nil"/>
            </w:tcBorders>
            <w:vAlign w:val="center"/>
          </w:tcPr>
          <w:p w:rsidR="002353DF" w:rsidRPr="00C1470E" w:rsidRDefault="002353DF" w:rsidP="00C66A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ARGENTINA</w:t>
            </w:r>
          </w:p>
        </w:tc>
        <w:tc>
          <w:tcPr>
            <w:tcW w:w="1471" w:type="dxa"/>
            <w:tcBorders>
              <w:top w:val="nil"/>
            </w:tcBorders>
            <w:vAlign w:val="center"/>
          </w:tcPr>
          <w:p w:rsidR="002353DF" w:rsidRPr="00C1470E" w:rsidRDefault="007D522E"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84,946</w:t>
            </w:r>
          </w:p>
        </w:tc>
        <w:tc>
          <w:tcPr>
            <w:tcW w:w="1417" w:type="dxa"/>
            <w:tcBorders>
              <w:top w:val="nil"/>
            </w:tcBorders>
            <w:vAlign w:val="center"/>
          </w:tcPr>
          <w:p w:rsidR="002353DF" w:rsidRPr="00C1470E" w:rsidRDefault="002353DF"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12.9%</w:t>
            </w:r>
          </w:p>
        </w:tc>
      </w:tr>
      <w:tr w:rsidR="002353DF" w:rsidRPr="00C1470E" w:rsidTr="002353D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3" w:type="dxa"/>
            <w:vAlign w:val="center"/>
            <w:hideMark/>
          </w:tcPr>
          <w:p w:rsidR="002353DF" w:rsidRPr="00C1470E" w:rsidRDefault="002353DF" w:rsidP="00C66A51">
            <w:pPr>
              <w:rPr>
                <w:rFonts w:ascii="Arial" w:eastAsia="Times New Roman" w:hAnsi="Arial" w:cs="Arial"/>
                <w:sz w:val="20"/>
                <w:szCs w:val="20"/>
                <w:lang w:val="en-GB"/>
              </w:rPr>
            </w:pPr>
            <w:r w:rsidRPr="00C1470E">
              <w:rPr>
                <w:rFonts w:ascii="Arial" w:eastAsia="Times New Roman" w:hAnsi="Arial" w:cs="Arial"/>
                <w:sz w:val="20"/>
                <w:szCs w:val="20"/>
                <w:lang w:val="en-GB"/>
              </w:rPr>
              <w:t>3</w:t>
            </w:r>
          </w:p>
        </w:tc>
        <w:tc>
          <w:tcPr>
            <w:tcW w:w="1569" w:type="dxa"/>
            <w:vAlign w:val="center"/>
          </w:tcPr>
          <w:p w:rsidR="002353DF" w:rsidRPr="00C1470E" w:rsidRDefault="002353DF" w:rsidP="00C66A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RUSSIA</w:t>
            </w:r>
          </w:p>
        </w:tc>
        <w:tc>
          <w:tcPr>
            <w:tcW w:w="1277" w:type="dxa"/>
            <w:vAlign w:val="center"/>
          </w:tcPr>
          <w:p w:rsidR="002353DF" w:rsidRPr="00C1470E" w:rsidRDefault="002353DF" w:rsidP="00971EC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194,531</w:t>
            </w:r>
          </w:p>
        </w:tc>
        <w:tc>
          <w:tcPr>
            <w:tcW w:w="1423" w:type="dxa"/>
            <w:vAlign w:val="center"/>
          </w:tcPr>
          <w:p w:rsidR="002353DF" w:rsidRPr="00C1470E" w:rsidRDefault="002353DF"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7.9%</w:t>
            </w:r>
          </w:p>
        </w:tc>
        <w:tc>
          <w:tcPr>
            <w:tcW w:w="439" w:type="dxa"/>
            <w:vAlign w:val="center"/>
          </w:tcPr>
          <w:p w:rsidR="002353DF" w:rsidRPr="00C1470E" w:rsidRDefault="002353DF"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C1470E">
              <w:rPr>
                <w:rFonts w:ascii="Arial" w:eastAsia="Times New Roman" w:hAnsi="Arial" w:cs="Arial"/>
                <w:b/>
                <w:sz w:val="20"/>
                <w:szCs w:val="20"/>
                <w:lang w:val="en-GB"/>
              </w:rPr>
              <w:t>11</w:t>
            </w:r>
          </w:p>
        </w:tc>
        <w:tc>
          <w:tcPr>
            <w:tcW w:w="1627" w:type="dxa"/>
            <w:vAlign w:val="center"/>
          </w:tcPr>
          <w:p w:rsidR="002353DF" w:rsidRPr="00C1470E" w:rsidRDefault="007D522E" w:rsidP="00C66A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SOUTH KOREA</w:t>
            </w:r>
          </w:p>
        </w:tc>
        <w:tc>
          <w:tcPr>
            <w:tcW w:w="1471" w:type="dxa"/>
            <w:vAlign w:val="center"/>
          </w:tcPr>
          <w:p w:rsidR="002353DF" w:rsidRPr="00C1470E" w:rsidRDefault="007D522E"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80,003</w:t>
            </w:r>
          </w:p>
        </w:tc>
        <w:tc>
          <w:tcPr>
            <w:tcW w:w="1417" w:type="dxa"/>
            <w:vAlign w:val="center"/>
          </w:tcPr>
          <w:p w:rsidR="002353DF" w:rsidRPr="00C1470E" w:rsidRDefault="007D522E"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4.9%</w:t>
            </w:r>
          </w:p>
        </w:tc>
      </w:tr>
      <w:tr w:rsidR="002353DF" w:rsidRPr="00C1470E" w:rsidTr="002353DF">
        <w:trPr>
          <w:trHeight w:val="315"/>
          <w:jc w:val="center"/>
        </w:trPr>
        <w:tc>
          <w:tcPr>
            <w:cnfStyle w:val="001000000000" w:firstRow="0" w:lastRow="0" w:firstColumn="1" w:lastColumn="0" w:oddVBand="0" w:evenVBand="0" w:oddHBand="0" w:evenHBand="0" w:firstRowFirstColumn="0" w:firstRowLastColumn="0" w:lastRowFirstColumn="0" w:lastRowLastColumn="0"/>
            <w:tcW w:w="353" w:type="dxa"/>
            <w:vAlign w:val="center"/>
            <w:hideMark/>
          </w:tcPr>
          <w:p w:rsidR="002353DF" w:rsidRPr="00C1470E" w:rsidRDefault="002353DF" w:rsidP="00C66A51">
            <w:pPr>
              <w:rPr>
                <w:rFonts w:ascii="Arial" w:eastAsia="Times New Roman" w:hAnsi="Arial" w:cs="Arial"/>
                <w:sz w:val="20"/>
                <w:szCs w:val="20"/>
                <w:lang w:val="en-GB"/>
              </w:rPr>
            </w:pPr>
            <w:r w:rsidRPr="00C1470E">
              <w:rPr>
                <w:rFonts w:ascii="Arial" w:eastAsia="Times New Roman" w:hAnsi="Arial" w:cs="Arial"/>
                <w:sz w:val="20"/>
                <w:szCs w:val="20"/>
                <w:lang w:val="en-GB"/>
              </w:rPr>
              <w:t>4</w:t>
            </w:r>
          </w:p>
        </w:tc>
        <w:tc>
          <w:tcPr>
            <w:tcW w:w="1569" w:type="dxa"/>
            <w:vAlign w:val="center"/>
          </w:tcPr>
          <w:p w:rsidR="002353DF" w:rsidRPr="00C1470E" w:rsidRDefault="002353DF" w:rsidP="00C66A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GERMANY</w:t>
            </w:r>
          </w:p>
        </w:tc>
        <w:tc>
          <w:tcPr>
            <w:tcW w:w="1277" w:type="dxa"/>
            <w:vAlign w:val="center"/>
          </w:tcPr>
          <w:p w:rsidR="002353DF" w:rsidRPr="00C1470E" w:rsidRDefault="007D522E"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173,479</w:t>
            </w:r>
          </w:p>
        </w:tc>
        <w:tc>
          <w:tcPr>
            <w:tcW w:w="1423" w:type="dxa"/>
            <w:vAlign w:val="center"/>
          </w:tcPr>
          <w:p w:rsidR="002353DF" w:rsidRPr="00C1470E" w:rsidRDefault="002353DF"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5.3%</w:t>
            </w:r>
          </w:p>
        </w:tc>
        <w:tc>
          <w:tcPr>
            <w:tcW w:w="439" w:type="dxa"/>
            <w:vAlign w:val="center"/>
          </w:tcPr>
          <w:p w:rsidR="002353DF" w:rsidRPr="00C1470E" w:rsidRDefault="002353DF"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C1470E">
              <w:rPr>
                <w:rFonts w:ascii="Arial" w:eastAsia="Times New Roman" w:hAnsi="Arial" w:cs="Arial"/>
                <w:b/>
                <w:sz w:val="20"/>
                <w:szCs w:val="20"/>
                <w:lang w:val="en-GB"/>
              </w:rPr>
              <w:t>12</w:t>
            </w:r>
          </w:p>
        </w:tc>
        <w:tc>
          <w:tcPr>
            <w:tcW w:w="1627" w:type="dxa"/>
            <w:vAlign w:val="center"/>
          </w:tcPr>
          <w:p w:rsidR="002353DF" w:rsidRPr="00C1470E" w:rsidRDefault="007D522E" w:rsidP="00C66A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BELGIUM + LUXEMBOURG</w:t>
            </w:r>
          </w:p>
        </w:tc>
        <w:tc>
          <w:tcPr>
            <w:tcW w:w="1471" w:type="dxa"/>
            <w:vAlign w:val="center"/>
          </w:tcPr>
          <w:p w:rsidR="002353DF" w:rsidRPr="00C1470E" w:rsidRDefault="007D522E"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77,303</w:t>
            </w:r>
          </w:p>
        </w:tc>
        <w:tc>
          <w:tcPr>
            <w:tcW w:w="1417" w:type="dxa"/>
            <w:vAlign w:val="center"/>
          </w:tcPr>
          <w:p w:rsidR="002353DF" w:rsidRPr="00C1470E" w:rsidRDefault="007D522E"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13.0%</w:t>
            </w:r>
          </w:p>
        </w:tc>
      </w:tr>
      <w:tr w:rsidR="002353DF" w:rsidRPr="00C1470E" w:rsidTr="002353D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3" w:type="dxa"/>
            <w:vAlign w:val="center"/>
            <w:hideMark/>
          </w:tcPr>
          <w:p w:rsidR="002353DF" w:rsidRPr="00C1470E" w:rsidRDefault="002353DF" w:rsidP="00C66A51">
            <w:pPr>
              <w:rPr>
                <w:rFonts w:ascii="Arial" w:eastAsia="Times New Roman" w:hAnsi="Arial" w:cs="Arial"/>
                <w:sz w:val="20"/>
                <w:szCs w:val="20"/>
                <w:lang w:val="en-GB"/>
              </w:rPr>
            </w:pPr>
            <w:r w:rsidRPr="00C1470E">
              <w:rPr>
                <w:rFonts w:ascii="Arial" w:eastAsia="Times New Roman" w:hAnsi="Arial" w:cs="Arial"/>
                <w:sz w:val="20"/>
                <w:szCs w:val="20"/>
                <w:lang w:val="en-GB"/>
              </w:rPr>
              <w:t>5</w:t>
            </w:r>
          </w:p>
        </w:tc>
        <w:tc>
          <w:tcPr>
            <w:tcW w:w="1569" w:type="dxa"/>
            <w:vAlign w:val="center"/>
          </w:tcPr>
          <w:p w:rsidR="002353DF" w:rsidRPr="00C1470E" w:rsidRDefault="007D522E" w:rsidP="00C66A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TURKEY</w:t>
            </w:r>
          </w:p>
        </w:tc>
        <w:tc>
          <w:tcPr>
            <w:tcW w:w="1277" w:type="dxa"/>
            <w:vAlign w:val="center"/>
          </w:tcPr>
          <w:p w:rsidR="002353DF" w:rsidRPr="00C1470E" w:rsidRDefault="007D522E" w:rsidP="007D52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133,212</w:t>
            </w:r>
          </w:p>
        </w:tc>
        <w:tc>
          <w:tcPr>
            <w:tcW w:w="1423" w:type="dxa"/>
            <w:vAlign w:val="center"/>
          </w:tcPr>
          <w:p w:rsidR="002353DF" w:rsidRPr="00C1470E" w:rsidRDefault="007D522E" w:rsidP="007D52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17.4%</w:t>
            </w:r>
          </w:p>
        </w:tc>
        <w:tc>
          <w:tcPr>
            <w:tcW w:w="439" w:type="dxa"/>
            <w:vAlign w:val="center"/>
          </w:tcPr>
          <w:p w:rsidR="002353DF" w:rsidRPr="00C1470E" w:rsidRDefault="002353DF"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C1470E">
              <w:rPr>
                <w:rFonts w:ascii="Arial" w:eastAsia="Times New Roman" w:hAnsi="Arial" w:cs="Arial"/>
                <w:b/>
                <w:sz w:val="20"/>
                <w:szCs w:val="20"/>
                <w:lang w:val="en-GB"/>
              </w:rPr>
              <w:t>13</w:t>
            </w:r>
          </w:p>
        </w:tc>
        <w:tc>
          <w:tcPr>
            <w:tcW w:w="1627" w:type="dxa"/>
            <w:vAlign w:val="center"/>
          </w:tcPr>
          <w:p w:rsidR="002353DF" w:rsidRPr="00C1470E" w:rsidRDefault="002353DF" w:rsidP="00C66A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COLOMBIA</w:t>
            </w:r>
          </w:p>
        </w:tc>
        <w:tc>
          <w:tcPr>
            <w:tcW w:w="1471" w:type="dxa"/>
            <w:vAlign w:val="center"/>
          </w:tcPr>
          <w:p w:rsidR="002353DF" w:rsidRPr="00C1470E" w:rsidRDefault="007D522E"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50,362</w:t>
            </w:r>
          </w:p>
        </w:tc>
        <w:tc>
          <w:tcPr>
            <w:tcW w:w="1417" w:type="dxa"/>
            <w:vAlign w:val="center"/>
          </w:tcPr>
          <w:p w:rsidR="002353DF" w:rsidRPr="00C1470E" w:rsidRDefault="007D522E"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16.6%</w:t>
            </w:r>
          </w:p>
        </w:tc>
      </w:tr>
      <w:tr w:rsidR="002353DF" w:rsidRPr="00C1470E" w:rsidTr="002353DF">
        <w:trPr>
          <w:trHeight w:val="315"/>
          <w:jc w:val="center"/>
        </w:trPr>
        <w:tc>
          <w:tcPr>
            <w:cnfStyle w:val="001000000000" w:firstRow="0" w:lastRow="0" w:firstColumn="1" w:lastColumn="0" w:oddVBand="0" w:evenVBand="0" w:oddHBand="0" w:evenHBand="0" w:firstRowFirstColumn="0" w:firstRowLastColumn="0" w:lastRowFirstColumn="0" w:lastRowLastColumn="0"/>
            <w:tcW w:w="353" w:type="dxa"/>
            <w:vAlign w:val="center"/>
            <w:hideMark/>
          </w:tcPr>
          <w:p w:rsidR="002353DF" w:rsidRPr="00C1470E" w:rsidRDefault="002353DF" w:rsidP="00C66A51">
            <w:pPr>
              <w:rPr>
                <w:rFonts w:ascii="Arial" w:eastAsia="Times New Roman" w:hAnsi="Arial" w:cs="Arial"/>
                <w:sz w:val="20"/>
                <w:szCs w:val="20"/>
                <w:lang w:val="en-GB"/>
              </w:rPr>
            </w:pPr>
            <w:r w:rsidRPr="00C1470E">
              <w:rPr>
                <w:rFonts w:ascii="Arial" w:eastAsia="Times New Roman" w:hAnsi="Arial" w:cs="Arial"/>
                <w:sz w:val="20"/>
                <w:szCs w:val="20"/>
                <w:lang w:val="en-GB"/>
              </w:rPr>
              <w:t>6</w:t>
            </w:r>
          </w:p>
        </w:tc>
        <w:tc>
          <w:tcPr>
            <w:tcW w:w="1569" w:type="dxa"/>
            <w:vAlign w:val="center"/>
          </w:tcPr>
          <w:p w:rsidR="002353DF" w:rsidRPr="00C1470E" w:rsidRDefault="007D522E" w:rsidP="00C66A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ITALY</w:t>
            </w:r>
          </w:p>
        </w:tc>
        <w:tc>
          <w:tcPr>
            <w:tcW w:w="1277" w:type="dxa"/>
            <w:vAlign w:val="center"/>
          </w:tcPr>
          <w:p w:rsidR="002353DF" w:rsidRPr="00C1470E" w:rsidRDefault="007D522E"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130,996</w:t>
            </w:r>
          </w:p>
        </w:tc>
        <w:tc>
          <w:tcPr>
            <w:tcW w:w="1423" w:type="dxa"/>
            <w:vAlign w:val="center"/>
          </w:tcPr>
          <w:p w:rsidR="002353DF" w:rsidRPr="00C1470E" w:rsidRDefault="007D522E"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8.9%</w:t>
            </w:r>
          </w:p>
        </w:tc>
        <w:tc>
          <w:tcPr>
            <w:tcW w:w="439" w:type="dxa"/>
            <w:vAlign w:val="center"/>
          </w:tcPr>
          <w:p w:rsidR="002353DF" w:rsidRPr="00C1470E" w:rsidRDefault="002353DF"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GB"/>
              </w:rPr>
            </w:pPr>
            <w:r w:rsidRPr="00C1470E">
              <w:rPr>
                <w:rFonts w:ascii="Arial" w:eastAsia="Times New Roman" w:hAnsi="Arial" w:cs="Arial"/>
                <w:b/>
                <w:sz w:val="20"/>
                <w:szCs w:val="20"/>
                <w:lang w:val="en-GB"/>
              </w:rPr>
              <w:t>14</w:t>
            </w:r>
          </w:p>
        </w:tc>
        <w:tc>
          <w:tcPr>
            <w:tcW w:w="1627" w:type="dxa"/>
            <w:vAlign w:val="center"/>
          </w:tcPr>
          <w:p w:rsidR="002353DF" w:rsidRPr="00C1470E" w:rsidRDefault="007D522E" w:rsidP="00C66A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MOROCCO</w:t>
            </w:r>
          </w:p>
        </w:tc>
        <w:tc>
          <w:tcPr>
            <w:tcW w:w="1471" w:type="dxa"/>
            <w:vAlign w:val="center"/>
          </w:tcPr>
          <w:p w:rsidR="002353DF" w:rsidRPr="00C1470E" w:rsidRDefault="002353DF" w:rsidP="007D52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45,174</w:t>
            </w:r>
          </w:p>
        </w:tc>
        <w:tc>
          <w:tcPr>
            <w:tcW w:w="1417" w:type="dxa"/>
            <w:vAlign w:val="center"/>
          </w:tcPr>
          <w:p w:rsidR="002353DF" w:rsidRPr="00C1470E" w:rsidRDefault="007D522E" w:rsidP="007D52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37.0%</w:t>
            </w:r>
          </w:p>
        </w:tc>
      </w:tr>
      <w:tr w:rsidR="002353DF" w:rsidRPr="00C1470E" w:rsidTr="002353D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53" w:type="dxa"/>
            <w:vAlign w:val="center"/>
            <w:hideMark/>
          </w:tcPr>
          <w:p w:rsidR="002353DF" w:rsidRPr="00C1470E" w:rsidRDefault="002353DF" w:rsidP="00C66A51">
            <w:pPr>
              <w:rPr>
                <w:rFonts w:ascii="Arial" w:eastAsia="Times New Roman" w:hAnsi="Arial" w:cs="Arial"/>
                <w:sz w:val="20"/>
                <w:szCs w:val="20"/>
                <w:lang w:val="en-GB"/>
              </w:rPr>
            </w:pPr>
            <w:r w:rsidRPr="00C1470E">
              <w:rPr>
                <w:rFonts w:ascii="Arial" w:eastAsia="Times New Roman" w:hAnsi="Arial" w:cs="Arial"/>
                <w:sz w:val="20"/>
                <w:szCs w:val="20"/>
                <w:lang w:val="en-GB"/>
              </w:rPr>
              <w:t>7</w:t>
            </w:r>
          </w:p>
        </w:tc>
        <w:tc>
          <w:tcPr>
            <w:tcW w:w="1569" w:type="dxa"/>
            <w:vAlign w:val="center"/>
          </w:tcPr>
          <w:p w:rsidR="002353DF" w:rsidRPr="00C1470E" w:rsidRDefault="007D522E" w:rsidP="00C66A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SPAIN</w:t>
            </w:r>
          </w:p>
        </w:tc>
        <w:tc>
          <w:tcPr>
            <w:tcW w:w="1277" w:type="dxa"/>
            <w:vAlign w:val="center"/>
          </w:tcPr>
          <w:p w:rsidR="002353DF" w:rsidRPr="00C1470E" w:rsidRDefault="007D522E"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127,666</w:t>
            </w:r>
          </w:p>
        </w:tc>
        <w:tc>
          <w:tcPr>
            <w:tcW w:w="1423" w:type="dxa"/>
            <w:vAlign w:val="center"/>
          </w:tcPr>
          <w:p w:rsidR="002353DF" w:rsidRPr="00C1470E" w:rsidRDefault="007D522E"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13.2%</w:t>
            </w:r>
          </w:p>
        </w:tc>
        <w:tc>
          <w:tcPr>
            <w:tcW w:w="439" w:type="dxa"/>
            <w:vAlign w:val="center"/>
          </w:tcPr>
          <w:p w:rsidR="002353DF" w:rsidRPr="00C1470E" w:rsidRDefault="002353DF"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GB"/>
              </w:rPr>
            </w:pPr>
            <w:r w:rsidRPr="00C1470E">
              <w:rPr>
                <w:rFonts w:ascii="Arial" w:eastAsia="Times New Roman" w:hAnsi="Arial" w:cs="Arial"/>
                <w:b/>
                <w:sz w:val="20"/>
                <w:szCs w:val="20"/>
                <w:lang w:val="en-GB"/>
              </w:rPr>
              <w:t>15</w:t>
            </w:r>
          </w:p>
        </w:tc>
        <w:tc>
          <w:tcPr>
            <w:tcW w:w="1627" w:type="dxa"/>
            <w:vAlign w:val="center"/>
          </w:tcPr>
          <w:p w:rsidR="002353DF" w:rsidRPr="00C1470E" w:rsidRDefault="007D522E" w:rsidP="00C66A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INDIA</w:t>
            </w:r>
          </w:p>
        </w:tc>
        <w:tc>
          <w:tcPr>
            <w:tcW w:w="1471" w:type="dxa"/>
            <w:vAlign w:val="center"/>
          </w:tcPr>
          <w:p w:rsidR="002353DF" w:rsidRPr="00C1470E" w:rsidRDefault="002353DF" w:rsidP="007D522E">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44,849</w:t>
            </w:r>
          </w:p>
        </w:tc>
        <w:tc>
          <w:tcPr>
            <w:tcW w:w="1417" w:type="dxa"/>
            <w:vAlign w:val="center"/>
          </w:tcPr>
          <w:p w:rsidR="002353DF" w:rsidRPr="00C1470E" w:rsidRDefault="007D522E" w:rsidP="00C66A5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1.5%</w:t>
            </w:r>
          </w:p>
        </w:tc>
      </w:tr>
      <w:tr w:rsidR="002353DF" w:rsidRPr="00C1470E" w:rsidTr="002353DF">
        <w:trPr>
          <w:trHeight w:val="315"/>
          <w:jc w:val="center"/>
        </w:trPr>
        <w:tc>
          <w:tcPr>
            <w:cnfStyle w:val="001000000000" w:firstRow="0" w:lastRow="0" w:firstColumn="1" w:lastColumn="0" w:oddVBand="0" w:evenVBand="0" w:oddHBand="0" w:evenHBand="0" w:firstRowFirstColumn="0" w:firstRowLastColumn="0" w:lastRowFirstColumn="0" w:lastRowLastColumn="0"/>
            <w:tcW w:w="353" w:type="dxa"/>
            <w:vAlign w:val="center"/>
            <w:hideMark/>
          </w:tcPr>
          <w:p w:rsidR="002353DF" w:rsidRPr="00C1470E" w:rsidRDefault="002353DF" w:rsidP="00C66A51">
            <w:pPr>
              <w:rPr>
                <w:rFonts w:ascii="Arial" w:eastAsia="Times New Roman" w:hAnsi="Arial" w:cs="Arial"/>
                <w:sz w:val="20"/>
                <w:szCs w:val="20"/>
                <w:lang w:val="en-GB"/>
              </w:rPr>
            </w:pPr>
            <w:r w:rsidRPr="00C1470E">
              <w:rPr>
                <w:rFonts w:ascii="Arial" w:eastAsia="Times New Roman" w:hAnsi="Arial" w:cs="Arial"/>
                <w:sz w:val="20"/>
                <w:szCs w:val="20"/>
                <w:lang w:val="en-GB"/>
              </w:rPr>
              <w:t>8</w:t>
            </w:r>
          </w:p>
        </w:tc>
        <w:tc>
          <w:tcPr>
            <w:tcW w:w="1569" w:type="dxa"/>
            <w:vAlign w:val="center"/>
          </w:tcPr>
          <w:p w:rsidR="002353DF" w:rsidRPr="00C1470E" w:rsidRDefault="002353DF" w:rsidP="00C66A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UNITED KINGDOM</w:t>
            </w:r>
          </w:p>
        </w:tc>
        <w:tc>
          <w:tcPr>
            <w:tcW w:w="1277" w:type="dxa"/>
            <w:vAlign w:val="center"/>
          </w:tcPr>
          <w:p w:rsidR="002353DF" w:rsidRPr="00C1470E" w:rsidRDefault="007D522E" w:rsidP="007D52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109,014</w:t>
            </w:r>
          </w:p>
        </w:tc>
        <w:tc>
          <w:tcPr>
            <w:tcW w:w="1423" w:type="dxa"/>
            <w:vAlign w:val="center"/>
          </w:tcPr>
          <w:p w:rsidR="002353DF" w:rsidRPr="00C1470E" w:rsidRDefault="002353DF" w:rsidP="007D522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3.9%</w:t>
            </w:r>
          </w:p>
        </w:tc>
        <w:tc>
          <w:tcPr>
            <w:tcW w:w="439" w:type="dxa"/>
            <w:vAlign w:val="center"/>
          </w:tcPr>
          <w:p w:rsidR="002353DF" w:rsidRPr="00C1470E" w:rsidRDefault="002353DF" w:rsidP="00C66A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1627" w:type="dxa"/>
            <w:vAlign w:val="center"/>
          </w:tcPr>
          <w:p w:rsidR="002353DF" w:rsidRPr="00C1470E" w:rsidRDefault="002353DF" w:rsidP="00C66A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1471" w:type="dxa"/>
            <w:vAlign w:val="center"/>
          </w:tcPr>
          <w:p w:rsidR="002353DF" w:rsidRPr="00C1470E" w:rsidRDefault="002353DF"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c>
          <w:tcPr>
            <w:tcW w:w="1417" w:type="dxa"/>
            <w:vAlign w:val="center"/>
          </w:tcPr>
          <w:p w:rsidR="002353DF" w:rsidRPr="00C1470E" w:rsidRDefault="002353DF" w:rsidP="00C66A5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p>
        </w:tc>
      </w:tr>
    </w:tbl>
    <w:p w:rsidR="008A1797" w:rsidRPr="00C1470E" w:rsidRDefault="008A1797">
      <w:pPr>
        <w:rPr>
          <w:rFonts w:ascii="Arial" w:eastAsia="Times New Roman" w:hAnsi="Arial" w:cs="Arial"/>
          <w:b/>
          <w:bCs/>
          <w:sz w:val="18"/>
          <w:szCs w:val="18"/>
          <w:lang w:val="en-GB"/>
        </w:rPr>
      </w:pPr>
    </w:p>
    <w:tbl>
      <w:tblPr>
        <w:tblStyle w:val="Trameclaire-Accent1"/>
        <w:tblW w:w="4229" w:type="pct"/>
        <w:jc w:val="center"/>
        <w:tblInd w:w="-1530" w:type="dxa"/>
        <w:tblLayout w:type="fixed"/>
        <w:tblLook w:val="04A0" w:firstRow="1" w:lastRow="0" w:firstColumn="1" w:lastColumn="0" w:noHBand="0" w:noVBand="1"/>
      </w:tblPr>
      <w:tblGrid>
        <w:gridCol w:w="361"/>
        <w:gridCol w:w="3686"/>
        <w:gridCol w:w="1418"/>
        <w:gridCol w:w="2411"/>
        <w:gridCol w:w="1700"/>
      </w:tblGrid>
      <w:tr w:rsidR="00F6456A" w:rsidRPr="00C1470E" w:rsidTr="007D522E">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9576" w:type="dxa"/>
            <w:gridSpan w:val="5"/>
            <w:tcBorders>
              <w:top w:val="nil"/>
            </w:tcBorders>
            <w:vAlign w:val="center"/>
          </w:tcPr>
          <w:p w:rsidR="00F6456A" w:rsidRPr="00C1470E" w:rsidRDefault="00F6456A" w:rsidP="00F6456A">
            <w:pPr>
              <w:pStyle w:val="Sous-titre2"/>
              <w:spacing w:after="0"/>
              <w:ind w:right="1021"/>
              <w:textAlignment w:val="top"/>
              <w:rPr>
                <w:color w:val="auto"/>
                <w:sz w:val="21"/>
                <w:szCs w:val="21"/>
                <w:lang w:val="en-GB"/>
              </w:rPr>
            </w:pPr>
            <w:r w:rsidRPr="00C1470E">
              <w:rPr>
                <w:color w:val="auto"/>
                <w:sz w:val="21"/>
                <w:szCs w:val="21"/>
                <w:lang w:val="en-GB"/>
              </w:rPr>
              <w:t>The Group's 5 best PC sales at end December 2014</w:t>
            </w:r>
          </w:p>
        </w:tc>
      </w:tr>
      <w:tr w:rsidR="00087176" w:rsidRPr="00C1470E" w:rsidTr="007D52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61" w:type="dxa"/>
            <w:vAlign w:val="center"/>
          </w:tcPr>
          <w:p w:rsidR="00087176" w:rsidRPr="00C1470E" w:rsidRDefault="00087176" w:rsidP="00F6456A">
            <w:pPr>
              <w:rPr>
                <w:rFonts w:ascii="Arial" w:eastAsia="Times New Roman" w:hAnsi="Arial" w:cs="Arial"/>
                <w:sz w:val="20"/>
                <w:szCs w:val="20"/>
                <w:lang w:val="en-GB"/>
              </w:rPr>
            </w:pPr>
            <w:r w:rsidRPr="00C1470E">
              <w:rPr>
                <w:rFonts w:ascii="Arial" w:eastAsia="Times New Roman" w:hAnsi="Arial" w:cs="Arial"/>
                <w:sz w:val="20"/>
                <w:szCs w:val="20"/>
                <w:lang w:val="en-GB"/>
              </w:rPr>
              <w:t xml:space="preserve">1 </w:t>
            </w:r>
          </w:p>
        </w:tc>
        <w:tc>
          <w:tcPr>
            <w:tcW w:w="3686" w:type="dxa"/>
            <w:vAlign w:val="center"/>
          </w:tcPr>
          <w:p w:rsidR="00087176" w:rsidRPr="00C1470E" w:rsidRDefault="00087176" w:rsidP="0008717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Duster (</w:t>
            </w:r>
            <w:proofErr w:type="spellStart"/>
            <w:r w:rsidRPr="00C1470E">
              <w:rPr>
                <w:rFonts w:ascii="Arial" w:eastAsia="Times New Roman" w:hAnsi="Arial" w:cs="Arial"/>
                <w:sz w:val="18"/>
                <w:szCs w:val="18"/>
                <w:lang w:val="en-GB"/>
              </w:rPr>
              <w:t>Renault+Dacia</w:t>
            </w:r>
            <w:proofErr w:type="spellEnd"/>
            <w:r w:rsidRPr="00C1470E">
              <w:rPr>
                <w:rFonts w:ascii="Arial" w:eastAsia="Times New Roman" w:hAnsi="Arial" w:cs="Arial"/>
                <w:sz w:val="18"/>
                <w:szCs w:val="18"/>
                <w:lang w:val="en-GB"/>
              </w:rPr>
              <w:t>)</w:t>
            </w:r>
          </w:p>
        </w:tc>
        <w:tc>
          <w:tcPr>
            <w:tcW w:w="1418" w:type="dxa"/>
            <w:vAlign w:val="center"/>
          </w:tcPr>
          <w:p w:rsidR="00087176" w:rsidRPr="00C1470E" w:rsidRDefault="00F30883" w:rsidP="0008717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395,350</w:t>
            </w:r>
          </w:p>
        </w:tc>
        <w:tc>
          <w:tcPr>
            <w:tcW w:w="2411" w:type="dxa"/>
            <w:vAlign w:val="center"/>
          </w:tcPr>
          <w:p w:rsidR="00087176" w:rsidRPr="00C1470E" w:rsidRDefault="00F30883" w:rsidP="0008717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n-GB"/>
              </w:rPr>
            </w:pPr>
            <w:r w:rsidRPr="00C1470E">
              <w:rPr>
                <w:rFonts w:ascii="Arial" w:eastAsia="Times New Roman" w:hAnsi="Arial" w:cs="Arial"/>
                <w:sz w:val="16"/>
                <w:szCs w:val="16"/>
                <w:lang w:val="en-GB"/>
              </w:rPr>
              <w:t xml:space="preserve">234,883 Renault </w:t>
            </w:r>
          </w:p>
        </w:tc>
        <w:tc>
          <w:tcPr>
            <w:tcW w:w="1700" w:type="dxa"/>
            <w:vAlign w:val="center"/>
          </w:tcPr>
          <w:p w:rsidR="00087176" w:rsidRPr="00C1470E" w:rsidRDefault="00F30883" w:rsidP="0008717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n-GB"/>
              </w:rPr>
            </w:pPr>
            <w:r w:rsidRPr="00C1470E">
              <w:rPr>
                <w:rFonts w:ascii="Arial" w:eastAsia="Times New Roman" w:hAnsi="Arial" w:cs="Arial"/>
                <w:sz w:val="16"/>
                <w:szCs w:val="16"/>
                <w:lang w:val="en-GB"/>
              </w:rPr>
              <w:t>160,467 Dacia</w:t>
            </w:r>
          </w:p>
        </w:tc>
      </w:tr>
      <w:tr w:rsidR="00421144" w:rsidRPr="00C1470E" w:rsidTr="007D522E">
        <w:trPr>
          <w:trHeight w:val="315"/>
          <w:jc w:val="center"/>
        </w:trPr>
        <w:tc>
          <w:tcPr>
            <w:cnfStyle w:val="001000000000" w:firstRow="0" w:lastRow="0" w:firstColumn="1" w:lastColumn="0" w:oddVBand="0" w:evenVBand="0" w:oddHBand="0" w:evenHBand="0" w:firstRowFirstColumn="0" w:firstRowLastColumn="0" w:lastRowFirstColumn="0" w:lastRowLastColumn="0"/>
            <w:tcW w:w="361" w:type="dxa"/>
            <w:vAlign w:val="center"/>
          </w:tcPr>
          <w:p w:rsidR="00421144" w:rsidRPr="00C1470E" w:rsidRDefault="00421144" w:rsidP="00F6456A">
            <w:pPr>
              <w:rPr>
                <w:rFonts w:ascii="Arial" w:eastAsia="Times New Roman" w:hAnsi="Arial" w:cs="Arial"/>
                <w:sz w:val="20"/>
                <w:szCs w:val="20"/>
                <w:lang w:val="en-GB"/>
              </w:rPr>
            </w:pPr>
            <w:r w:rsidRPr="00C1470E">
              <w:rPr>
                <w:rFonts w:ascii="Arial" w:eastAsia="Times New Roman" w:hAnsi="Arial" w:cs="Arial"/>
                <w:sz w:val="20"/>
                <w:szCs w:val="20"/>
                <w:lang w:val="en-GB"/>
              </w:rPr>
              <w:t>2</w:t>
            </w:r>
          </w:p>
        </w:tc>
        <w:tc>
          <w:tcPr>
            <w:tcW w:w="3686" w:type="dxa"/>
            <w:vAlign w:val="center"/>
          </w:tcPr>
          <w:p w:rsidR="00421144" w:rsidRPr="00C1470E" w:rsidRDefault="00421144" w:rsidP="00F645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Renault Clio IV</w:t>
            </w:r>
          </w:p>
        </w:tc>
        <w:tc>
          <w:tcPr>
            <w:tcW w:w="1418" w:type="dxa"/>
            <w:vAlign w:val="center"/>
          </w:tcPr>
          <w:p w:rsidR="00421144" w:rsidRPr="00C1470E" w:rsidRDefault="00F30883" w:rsidP="009409D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378,526</w:t>
            </w:r>
          </w:p>
        </w:tc>
        <w:tc>
          <w:tcPr>
            <w:tcW w:w="2411" w:type="dxa"/>
            <w:vAlign w:val="center"/>
          </w:tcPr>
          <w:p w:rsidR="00421144" w:rsidRPr="00C1470E" w:rsidRDefault="00421144" w:rsidP="0008717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n-GB"/>
              </w:rPr>
            </w:pPr>
          </w:p>
        </w:tc>
        <w:tc>
          <w:tcPr>
            <w:tcW w:w="1700" w:type="dxa"/>
            <w:vAlign w:val="center"/>
          </w:tcPr>
          <w:p w:rsidR="00421144" w:rsidRPr="00C1470E" w:rsidRDefault="00421144" w:rsidP="0008717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n-GB"/>
              </w:rPr>
            </w:pPr>
          </w:p>
        </w:tc>
      </w:tr>
      <w:tr w:rsidR="009D3E5B" w:rsidRPr="00C1470E" w:rsidTr="007D52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61" w:type="dxa"/>
            <w:vAlign w:val="center"/>
          </w:tcPr>
          <w:p w:rsidR="009D3E5B" w:rsidRPr="00C1470E" w:rsidRDefault="009D3E5B" w:rsidP="00F6456A">
            <w:pPr>
              <w:rPr>
                <w:rFonts w:ascii="Arial" w:eastAsia="Times New Roman" w:hAnsi="Arial" w:cs="Arial"/>
                <w:sz w:val="20"/>
                <w:szCs w:val="20"/>
                <w:lang w:val="en-GB"/>
              </w:rPr>
            </w:pPr>
            <w:r w:rsidRPr="00C1470E">
              <w:rPr>
                <w:rFonts w:ascii="Arial" w:eastAsia="Times New Roman" w:hAnsi="Arial" w:cs="Arial"/>
                <w:sz w:val="20"/>
                <w:szCs w:val="20"/>
                <w:lang w:val="en-GB"/>
              </w:rPr>
              <w:t>3</w:t>
            </w:r>
          </w:p>
        </w:tc>
        <w:tc>
          <w:tcPr>
            <w:tcW w:w="3686" w:type="dxa"/>
            <w:vAlign w:val="center"/>
          </w:tcPr>
          <w:p w:rsidR="009D3E5B" w:rsidRPr="00C1470E" w:rsidRDefault="009D3E5B" w:rsidP="00CB1F0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New Logan (</w:t>
            </w:r>
            <w:proofErr w:type="spellStart"/>
            <w:r w:rsidRPr="00C1470E">
              <w:rPr>
                <w:rFonts w:ascii="Arial" w:eastAsia="Times New Roman" w:hAnsi="Arial" w:cs="Arial"/>
                <w:sz w:val="18"/>
                <w:szCs w:val="18"/>
                <w:lang w:val="en-GB"/>
              </w:rPr>
              <w:t>Renault+Dacia</w:t>
            </w:r>
            <w:proofErr w:type="spellEnd"/>
            <w:r w:rsidRPr="00C1470E">
              <w:rPr>
                <w:rFonts w:ascii="Arial" w:eastAsia="Times New Roman" w:hAnsi="Arial" w:cs="Arial"/>
                <w:sz w:val="18"/>
                <w:szCs w:val="18"/>
                <w:lang w:val="en-GB"/>
              </w:rPr>
              <w:t>)</w:t>
            </w:r>
          </w:p>
        </w:tc>
        <w:tc>
          <w:tcPr>
            <w:tcW w:w="1418" w:type="dxa"/>
            <w:vAlign w:val="center"/>
          </w:tcPr>
          <w:p w:rsidR="009D3E5B" w:rsidRPr="00C1470E" w:rsidRDefault="009D3E5B" w:rsidP="00CB1F0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234,766</w:t>
            </w:r>
          </w:p>
        </w:tc>
        <w:tc>
          <w:tcPr>
            <w:tcW w:w="2411" w:type="dxa"/>
            <w:vAlign w:val="center"/>
          </w:tcPr>
          <w:p w:rsidR="009D3E5B" w:rsidRPr="00C1470E" w:rsidRDefault="009D3E5B" w:rsidP="00CB1F0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n-GB"/>
              </w:rPr>
            </w:pPr>
            <w:r w:rsidRPr="00C1470E">
              <w:rPr>
                <w:rFonts w:ascii="Arial" w:eastAsia="Times New Roman" w:hAnsi="Arial" w:cs="Arial"/>
                <w:sz w:val="16"/>
                <w:szCs w:val="16"/>
                <w:lang w:val="en-GB"/>
              </w:rPr>
              <w:t xml:space="preserve"> 137,357 Renault </w:t>
            </w:r>
          </w:p>
        </w:tc>
        <w:tc>
          <w:tcPr>
            <w:tcW w:w="1700" w:type="dxa"/>
            <w:vAlign w:val="center"/>
          </w:tcPr>
          <w:p w:rsidR="009D3E5B" w:rsidRPr="00C1470E" w:rsidRDefault="009D3E5B" w:rsidP="00CB1F0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n-GB"/>
              </w:rPr>
            </w:pPr>
            <w:r w:rsidRPr="00C1470E">
              <w:rPr>
                <w:rFonts w:ascii="Arial" w:eastAsia="Times New Roman" w:hAnsi="Arial" w:cs="Arial"/>
                <w:sz w:val="16"/>
                <w:szCs w:val="16"/>
                <w:lang w:val="en-GB"/>
              </w:rPr>
              <w:t>97,409 Dacia</w:t>
            </w:r>
          </w:p>
        </w:tc>
      </w:tr>
      <w:tr w:rsidR="009D3E5B" w:rsidRPr="00C1470E" w:rsidTr="007D522E">
        <w:trPr>
          <w:trHeight w:val="315"/>
          <w:jc w:val="center"/>
        </w:trPr>
        <w:tc>
          <w:tcPr>
            <w:cnfStyle w:val="001000000000" w:firstRow="0" w:lastRow="0" w:firstColumn="1" w:lastColumn="0" w:oddVBand="0" w:evenVBand="0" w:oddHBand="0" w:evenHBand="0" w:firstRowFirstColumn="0" w:firstRowLastColumn="0" w:lastRowFirstColumn="0" w:lastRowLastColumn="0"/>
            <w:tcW w:w="361" w:type="dxa"/>
            <w:vAlign w:val="center"/>
          </w:tcPr>
          <w:p w:rsidR="009D3E5B" w:rsidRPr="00C1470E" w:rsidRDefault="009D3E5B" w:rsidP="00F6456A">
            <w:pPr>
              <w:rPr>
                <w:rFonts w:ascii="Arial" w:eastAsia="Times New Roman" w:hAnsi="Arial" w:cs="Arial"/>
                <w:sz w:val="20"/>
                <w:szCs w:val="20"/>
                <w:lang w:val="en-GB"/>
              </w:rPr>
            </w:pPr>
            <w:r w:rsidRPr="00C1470E">
              <w:rPr>
                <w:rFonts w:ascii="Arial" w:eastAsia="Times New Roman" w:hAnsi="Arial" w:cs="Arial"/>
                <w:sz w:val="20"/>
                <w:szCs w:val="20"/>
                <w:lang w:val="en-GB"/>
              </w:rPr>
              <w:t xml:space="preserve">4 </w:t>
            </w:r>
          </w:p>
        </w:tc>
        <w:tc>
          <w:tcPr>
            <w:tcW w:w="3686" w:type="dxa"/>
            <w:vAlign w:val="center"/>
          </w:tcPr>
          <w:p w:rsidR="009D3E5B" w:rsidRPr="00C1470E" w:rsidRDefault="009D3E5B" w:rsidP="00CB1F0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GB"/>
              </w:rPr>
            </w:pPr>
            <w:r w:rsidRPr="00C1470E">
              <w:rPr>
                <w:rFonts w:ascii="Arial" w:eastAsia="Times New Roman" w:hAnsi="Arial" w:cs="Arial"/>
                <w:sz w:val="18"/>
                <w:szCs w:val="18"/>
                <w:lang w:val="en-GB"/>
              </w:rPr>
              <w:t xml:space="preserve">New </w:t>
            </w:r>
            <w:proofErr w:type="spellStart"/>
            <w:r w:rsidRPr="00C1470E">
              <w:rPr>
                <w:rFonts w:ascii="Arial" w:eastAsia="Times New Roman" w:hAnsi="Arial" w:cs="Arial"/>
                <w:sz w:val="18"/>
                <w:szCs w:val="18"/>
                <w:lang w:val="en-GB"/>
              </w:rPr>
              <w:t>Sandero</w:t>
            </w:r>
            <w:proofErr w:type="spellEnd"/>
            <w:r w:rsidRPr="00C1470E">
              <w:rPr>
                <w:rFonts w:ascii="Arial" w:eastAsia="Times New Roman" w:hAnsi="Arial" w:cs="Arial"/>
                <w:sz w:val="18"/>
                <w:szCs w:val="18"/>
                <w:lang w:val="en-GB"/>
              </w:rPr>
              <w:t xml:space="preserve"> (</w:t>
            </w:r>
            <w:proofErr w:type="spellStart"/>
            <w:r w:rsidRPr="00C1470E">
              <w:rPr>
                <w:rFonts w:ascii="Arial" w:eastAsia="Times New Roman" w:hAnsi="Arial" w:cs="Arial"/>
                <w:sz w:val="18"/>
                <w:szCs w:val="18"/>
                <w:lang w:val="en-GB"/>
              </w:rPr>
              <w:t>Renault+Dacia</w:t>
            </w:r>
            <w:proofErr w:type="spellEnd"/>
            <w:r w:rsidRPr="00C1470E">
              <w:rPr>
                <w:rFonts w:ascii="Arial" w:eastAsia="Times New Roman" w:hAnsi="Arial" w:cs="Arial"/>
                <w:sz w:val="18"/>
                <w:szCs w:val="18"/>
                <w:lang w:val="en-GB"/>
              </w:rPr>
              <w:t>)</w:t>
            </w:r>
          </w:p>
        </w:tc>
        <w:tc>
          <w:tcPr>
            <w:tcW w:w="1418" w:type="dxa"/>
            <w:vAlign w:val="center"/>
          </w:tcPr>
          <w:p w:rsidR="009D3E5B" w:rsidRPr="00C1470E" w:rsidRDefault="009D3E5B" w:rsidP="00CB1F0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227,036</w:t>
            </w:r>
          </w:p>
        </w:tc>
        <w:tc>
          <w:tcPr>
            <w:tcW w:w="2411" w:type="dxa"/>
            <w:vAlign w:val="center"/>
          </w:tcPr>
          <w:p w:rsidR="009D3E5B" w:rsidRPr="00C1470E" w:rsidRDefault="009D3E5B" w:rsidP="00CB1F0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n-GB"/>
              </w:rPr>
            </w:pPr>
            <w:r w:rsidRPr="00C1470E">
              <w:rPr>
                <w:rFonts w:ascii="Arial" w:eastAsia="Times New Roman" w:hAnsi="Arial" w:cs="Arial"/>
                <w:sz w:val="16"/>
                <w:szCs w:val="16"/>
                <w:lang w:val="en-GB"/>
              </w:rPr>
              <w:t>58,927 Renault</w:t>
            </w:r>
          </w:p>
        </w:tc>
        <w:tc>
          <w:tcPr>
            <w:tcW w:w="1700" w:type="dxa"/>
            <w:vAlign w:val="center"/>
          </w:tcPr>
          <w:p w:rsidR="009D3E5B" w:rsidRPr="00C1470E" w:rsidRDefault="009D3E5B" w:rsidP="00CB1F0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n-GB"/>
              </w:rPr>
            </w:pPr>
            <w:r w:rsidRPr="00C1470E">
              <w:rPr>
                <w:rFonts w:ascii="Arial" w:eastAsia="Times New Roman" w:hAnsi="Arial" w:cs="Arial"/>
                <w:sz w:val="16"/>
                <w:szCs w:val="16"/>
                <w:lang w:val="en-GB"/>
              </w:rPr>
              <w:t xml:space="preserve">168,109 Dacia </w:t>
            </w:r>
          </w:p>
        </w:tc>
      </w:tr>
      <w:tr w:rsidR="009D3E5B" w:rsidRPr="00C1470E" w:rsidTr="007D522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61" w:type="dxa"/>
            <w:vAlign w:val="center"/>
          </w:tcPr>
          <w:p w:rsidR="009D3E5B" w:rsidRPr="00C1470E" w:rsidRDefault="009D3E5B" w:rsidP="00F6456A">
            <w:pPr>
              <w:rPr>
                <w:rFonts w:ascii="Arial" w:eastAsia="Times New Roman" w:hAnsi="Arial" w:cs="Arial"/>
                <w:sz w:val="20"/>
                <w:szCs w:val="20"/>
                <w:lang w:val="en-GB"/>
              </w:rPr>
            </w:pPr>
            <w:r w:rsidRPr="00C1470E">
              <w:rPr>
                <w:rFonts w:ascii="Arial" w:eastAsia="Times New Roman" w:hAnsi="Arial" w:cs="Arial"/>
                <w:sz w:val="20"/>
                <w:szCs w:val="20"/>
                <w:lang w:val="en-GB"/>
              </w:rPr>
              <w:t>5</w:t>
            </w:r>
          </w:p>
        </w:tc>
        <w:tc>
          <w:tcPr>
            <w:tcW w:w="3686" w:type="dxa"/>
            <w:vAlign w:val="center"/>
          </w:tcPr>
          <w:p w:rsidR="009D3E5B" w:rsidRPr="00C1470E" w:rsidRDefault="009D3E5B" w:rsidP="00F645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GB"/>
              </w:rPr>
            </w:pPr>
            <w:proofErr w:type="spellStart"/>
            <w:r w:rsidRPr="00C1470E">
              <w:rPr>
                <w:rFonts w:ascii="Arial" w:eastAsia="Times New Roman" w:hAnsi="Arial" w:cs="Arial"/>
                <w:sz w:val="18"/>
                <w:szCs w:val="18"/>
                <w:lang w:val="en-GB"/>
              </w:rPr>
              <w:t>Captur</w:t>
            </w:r>
            <w:proofErr w:type="spellEnd"/>
            <w:r w:rsidRPr="00C1470E">
              <w:rPr>
                <w:rFonts w:ascii="Arial" w:eastAsia="Times New Roman" w:hAnsi="Arial" w:cs="Arial"/>
                <w:sz w:val="18"/>
                <w:szCs w:val="18"/>
                <w:lang w:val="en-GB"/>
              </w:rPr>
              <w:t xml:space="preserve"> (</w:t>
            </w:r>
            <w:proofErr w:type="spellStart"/>
            <w:r w:rsidRPr="00C1470E">
              <w:rPr>
                <w:rFonts w:ascii="Arial" w:eastAsia="Times New Roman" w:hAnsi="Arial" w:cs="Arial"/>
                <w:sz w:val="18"/>
                <w:szCs w:val="18"/>
                <w:lang w:val="en-GB"/>
              </w:rPr>
              <w:t>Renault+RSM</w:t>
            </w:r>
            <w:proofErr w:type="spellEnd"/>
            <w:r w:rsidRPr="00C1470E">
              <w:rPr>
                <w:rFonts w:ascii="Arial" w:eastAsia="Times New Roman" w:hAnsi="Arial" w:cs="Arial"/>
                <w:sz w:val="18"/>
                <w:szCs w:val="18"/>
                <w:lang w:val="en-GB"/>
              </w:rPr>
              <w:t>)</w:t>
            </w:r>
          </w:p>
        </w:tc>
        <w:tc>
          <w:tcPr>
            <w:tcW w:w="1418" w:type="dxa"/>
            <w:vAlign w:val="center"/>
          </w:tcPr>
          <w:p w:rsidR="009D3E5B" w:rsidRPr="00C1470E" w:rsidRDefault="009D3E5B" w:rsidP="009409D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rPr>
            </w:pPr>
            <w:r w:rsidRPr="00C1470E">
              <w:rPr>
                <w:rFonts w:ascii="Arial" w:eastAsia="Times New Roman" w:hAnsi="Arial" w:cs="Arial"/>
                <w:sz w:val="20"/>
                <w:szCs w:val="20"/>
                <w:lang w:val="en-GB"/>
              </w:rPr>
              <w:t>196,592</w:t>
            </w:r>
          </w:p>
        </w:tc>
        <w:tc>
          <w:tcPr>
            <w:tcW w:w="2411" w:type="dxa"/>
            <w:vAlign w:val="center"/>
          </w:tcPr>
          <w:p w:rsidR="009D3E5B" w:rsidRPr="00C1470E" w:rsidRDefault="009D3E5B" w:rsidP="0008717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n-GB"/>
              </w:rPr>
            </w:pPr>
            <w:r w:rsidRPr="00C1470E">
              <w:rPr>
                <w:rFonts w:ascii="Arial" w:eastAsia="Times New Roman" w:hAnsi="Arial" w:cs="Arial"/>
                <w:sz w:val="16"/>
                <w:szCs w:val="16"/>
                <w:lang w:val="en-GB"/>
              </w:rPr>
              <w:t>178,401 Renault</w:t>
            </w:r>
          </w:p>
        </w:tc>
        <w:tc>
          <w:tcPr>
            <w:tcW w:w="1700" w:type="dxa"/>
            <w:vAlign w:val="center"/>
          </w:tcPr>
          <w:p w:rsidR="009D3E5B" w:rsidRPr="00C1470E" w:rsidRDefault="009D3E5B" w:rsidP="009D3E5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n-GB"/>
              </w:rPr>
            </w:pPr>
            <w:r w:rsidRPr="00C1470E">
              <w:rPr>
                <w:rFonts w:ascii="Arial" w:eastAsia="Times New Roman" w:hAnsi="Arial" w:cs="Arial"/>
                <w:sz w:val="16"/>
                <w:szCs w:val="16"/>
                <w:lang w:val="en-GB"/>
              </w:rPr>
              <w:t>18,191 RSM</w:t>
            </w:r>
          </w:p>
        </w:tc>
      </w:tr>
    </w:tbl>
    <w:p w:rsidR="00692739" w:rsidRPr="00C1470E" w:rsidRDefault="00692739">
      <w:pPr>
        <w:rPr>
          <w:rFonts w:ascii="Arial" w:eastAsia="Times New Roman" w:hAnsi="Arial" w:cs="Arial"/>
          <w:b/>
          <w:bCs/>
          <w:sz w:val="18"/>
          <w:szCs w:val="18"/>
          <w:lang w:val="en-GB"/>
        </w:rPr>
      </w:pPr>
    </w:p>
    <w:p w:rsidR="00692739" w:rsidRPr="00C1470E" w:rsidRDefault="00692739">
      <w:pPr>
        <w:rPr>
          <w:rFonts w:ascii="Arial" w:eastAsia="Times New Roman" w:hAnsi="Arial" w:cs="Arial"/>
          <w:b/>
          <w:bCs/>
          <w:sz w:val="18"/>
          <w:szCs w:val="18"/>
          <w:lang w:val="en-GB"/>
        </w:rPr>
      </w:pPr>
      <w:bookmarkStart w:id="0" w:name="_GoBack"/>
      <w:bookmarkEnd w:id="0"/>
    </w:p>
    <w:p w:rsidR="00692739" w:rsidRPr="00C1470E" w:rsidRDefault="007B0124" w:rsidP="00570B25">
      <w:pPr>
        <w:rPr>
          <w:rFonts w:ascii="Arial" w:eastAsia="Times New Roman" w:hAnsi="Arial" w:cs="Arial"/>
          <w:b/>
          <w:bCs/>
          <w:sz w:val="18"/>
          <w:szCs w:val="18"/>
          <w:lang w:val="en-GB"/>
        </w:rPr>
      </w:pPr>
      <w:r w:rsidRPr="00C1470E">
        <w:rPr>
          <w:rFonts w:ascii="Arial" w:eastAsia="Times New Roman" w:hAnsi="Arial" w:cs="Arial"/>
          <w:b/>
          <w:bCs/>
          <w:sz w:val="18"/>
          <w:szCs w:val="18"/>
          <w:lang w:val="en-GB"/>
        </w:rPr>
        <w:t xml:space="preserve">Press Contact: Renault Press +33.1.76.84.63.36 – </w:t>
      </w:r>
      <w:proofErr w:type="spellStart"/>
      <w:r w:rsidRPr="00C1470E">
        <w:rPr>
          <w:rFonts w:ascii="Arial" w:eastAsia="Times New Roman" w:hAnsi="Arial" w:cs="Arial"/>
          <w:b/>
          <w:bCs/>
          <w:sz w:val="18"/>
          <w:szCs w:val="18"/>
          <w:lang w:val="en-GB"/>
        </w:rPr>
        <w:t>Aurélie</w:t>
      </w:r>
      <w:proofErr w:type="spellEnd"/>
      <w:r w:rsidRPr="00C1470E">
        <w:rPr>
          <w:rFonts w:ascii="Arial" w:eastAsia="Times New Roman" w:hAnsi="Arial" w:cs="Arial"/>
          <w:b/>
          <w:bCs/>
          <w:sz w:val="18"/>
          <w:szCs w:val="18"/>
          <w:lang w:val="en-GB"/>
        </w:rPr>
        <w:t xml:space="preserve"> Le </w:t>
      </w:r>
      <w:proofErr w:type="spellStart"/>
      <w:r w:rsidRPr="00C1470E">
        <w:rPr>
          <w:rFonts w:ascii="Arial" w:eastAsia="Times New Roman" w:hAnsi="Arial" w:cs="Arial"/>
          <w:b/>
          <w:bCs/>
          <w:sz w:val="18"/>
          <w:szCs w:val="18"/>
          <w:lang w:val="en-GB"/>
        </w:rPr>
        <w:t>Clerre</w:t>
      </w:r>
      <w:proofErr w:type="spellEnd"/>
      <w:r w:rsidRPr="00C1470E">
        <w:rPr>
          <w:rFonts w:ascii="Arial" w:eastAsia="Times New Roman" w:hAnsi="Arial" w:cs="Arial"/>
          <w:b/>
          <w:bCs/>
          <w:sz w:val="18"/>
          <w:szCs w:val="18"/>
          <w:lang w:val="en-GB"/>
        </w:rPr>
        <w:t xml:space="preserve"> +33.1.76.83.02.68</w:t>
      </w:r>
      <w:r w:rsidRPr="00C1470E">
        <w:rPr>
          <w:rFonts w:ascii="Arial" w:eastAsia="Times New Roman" w:hAnsi="Arial" w:cs="Arial"/>
          <w:b/>
          <w:bCs/>
          <w:sz w:val="18"/>
          <w:szCs w:val="18"/>
          <w:lang w:val="en-GB"/>
        </w:rPr>
        <w:br/>
        <w:t xml:space="preserve">Websites: </w:t>
      </w:r>
      <w:hyperlink r:id="rId10" w:tgtFrame="_blank" w:history="1">
        <w:r w:rsidRPr="00C1470E">
          <w:rPr>
            <w:rStyle w:val="Lienhypertexte"/>
            <w:rFonts w:ascii="Arial" w:eastAsia="Times New Roman" w:hAnsi="Arial" w:cs="Arial"/>
            <w:b/>
            <w:bCs/>
            <w:sz w:val="18"/>
            <w:szCs w:val="18"/>
            <w:lang w:val="en-GB"/>
          </w:rPr>
          <w:t>www.media.renault.com</w:t>
        </w:r>
      </w:hyperlink>
      <w:r w:rsidRPr="00C1470E">
        <w:rPr>
          <w:rFonts w:ascii="Arial" w:eastAsia="Times New Roman" w:hAnsi="Arial" w:cs="Arial"/>
          <w:b/>
          <w:bCs/>
          <w:sz w:val="18"/>
          <w:szCs w:val="18"/>
          <w:lang w:val="en-GB"/>
        </w:rPr>
        <w:t xml:space="preserve"> - </w:t>
      </w:r>
      <w:hyperlink r:id="rId11" w:tgtFrame="_blank" w:history="1">
        <w:r w:rsidRPr="00C1470E">
          <w:rPr>
            <w:rStyle w:val="Lienhypertexte"/>
            <w:rFonts w:ascii="Arial" w:eastAsia="Times New Roman" w:hAnsi="Arial" w:cs="Arial"/>
            <w:b/>
            <w:bCs/>
            <w:sz w:val="18"/>
            <w:szCs w:val="18"/>
            <w:lang w:val="en-GB"/>
          </w:rPr>
          <w:t>www.renault.com</w:t>
        </w:r>
      </w:hyperlink>
      <w:r w:rsidR="00087176" w:rsidRPr="00C1470E">
        <w:rPr>
          <w:rStyle w:val="Lienhypertexte"/>
          <w:rFonts w:ascii="Arial" w:eastAsia="Times New Roman" w:hAnsi="Arial" w:cs="Arial"/>
          <w:b/>
          <w:bCs/>
          <w:sz w:val="18"/>
          <w:szCs w:val="18"/>
          <w:lang w:val="en-GB"/>
        </w:rPr>
        <w:t xml:space="preserve"> </w:t>
      </w:r>
      <w:r w:rsidRPr="00C1470E">
        <w:rPr>
          <w:rFonts w:ascii="Arial" w:eastAsia="Times New Roman" w:hAnsi="Arial" w:cs="Arial"/>
          <w:b/>
          <w:bCs/>
          <w:sz w:val="18"/>
          <w:szCs w:val="18"/>
          <w:lang w:val="en-GB"/>
        </w:rPr>
        <w:t xml:space="preserve">Follow us: </w:t>
      </w:r>
      <w:hyperlink r:id="rId12" w:tgtFrame="_blank" w:history="1">
        <w:r w:rsidRPr="00C1470E">
          <w:rPr>
            <w:rStyle w:val="Lienhypertexte"/>
            <w:rFonts w:ascii="Arial" w:eastAsia="Times New Roman" w:hAnsi="Arial" w:cs="Arial"/>
            <w:b/>
            <w:bCs/>
            <w:sz w:val="18"/>
            <w:szCs w:val="18"/>
            <w:lang w:val="en-GB"/>
          </w:rPr>
          <w:t>@</w:t>
        </w:r>
        <w:proofErr w:type="spellStart"/>
        <w:r w:rsidRPr="00C1470E">
          <w:rPr>
            <w:rStyle w:val="Lienhypertexte"/>
            <w:rFonts w:ascii="Arial" w:eastAsia="Times New Roman" w:hAnsi="Arial" w:cs="Arial"/>
            <w:b/>
            <w:bCs/>
            <w:sz w:val="18"/>
            <w:szCs w:val="18"/>
            <w:lang w:val="en-GB"/>
          </w:rPr>
          <w:t>Renault_live</w:t>
        </w:r>
        <w:proofErr w:type="spellEnd"/>
        <w:r w:rsidRPr="00C1470E">
          <w:rPr>
            <w:rStyle w:val="Lienhypertexte"/>
            <w:rFonts w:ascii="Arial" w:eastAsia="Times New Roman" w:hAnsi="Arial" w:cs="Arial"/>
            <w:b/>
            <w:bCs/>
            <w:sz w:val="18"/>
            <w:szCs w:val="18"/>
            <w:lang w:val="en-GB"/>
          </w:rPr>
          <w:t>.</w:t>
        </w:r>
      </w:hyperlink>
    </w:p>
    <w:sectPr w:rsidR="00692739" w:rsidRPr="00C1470E" w:rsidSect="00974213">
      <w:pgSz w:w="12240" w:h="15840"/>
      <w:pgMar w:top="567" w:right="567" w:bottom="142"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90" w:rsidRDefault="00B52F90" w:rsidP="00E80FC6">
      <w:r>
        <w:separator/>
      </w:r>
    </w:p>
  </w:endnote>
  <w:endnote w:type="continuationSeparator" w:id="0">
    <w:p w:rsidR="00B52F90" w:rsidRDefault="00B52F90" w:rsidP="00E8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90" w:rsidRDefault="00B52F90" w:rsidP="00E80FC6">
      <w:r>
        <w:separator/>
      </w:r>
    </w:p>
  </w:footnote>
  <w:footnote w:type="continuationSeparator" w:id="0">
    <w:p w:rsidR="00B52F90" w:rsidRDefault="00B52F90" w:rsidP="00E80FC6">
      <w:r>
        <w:continuationSeparator/>
      </w:r>
    </w:p>
  </w:footnote>
  <w:footnote w:id="1">
    <w:p w:rsidR="009E5984" w:rsidRPr="004A4E00" w:rsidRDefault="009E5984">
      <w:pPr>
        <w:pStyle w:val="Notedebasdepage"/>
        <w:rPr>
          <w:rFonts w:ascii="Arial" w:hAnsi="Arial" w:cs="Arial"/>
          <w:sz w:val="16"/>
          <w:szCs w:val="16"/>
        </w:rPr>
      </w:pPr>
      <w:r w:rsidRPr="009E5984">
        <w:rPr>
          <w:rStyle w:val="Appelnotedebasdep"/>
          <w:rFonts w:ascii="Arial" w:hAnsi="Arial" w:cs="Arial"/>
          <w:sz w:val="16"/>
          <w:szCs w:val="16"/>
        </w:rPr>
        <w:footnoteRef/>
      </w:r>
      <w:r w:rsidRPr="009E5984">
        <w:rPr>
          <w:rFonts w:ascii="Arial" w:hAnsi="Arial" w:cs="Arial"/>
          <w:sz w:val="16"/>
          <w:szCs w:val="16"/>
          <w:lang w:val="en-GB"/>
        </w:rPr>
        <w:t xml:space="preserve"> New scope of the Eurasia Region comprising Turkey, Romania, Moldova and Bulgaria, which used to be in the </w:t>
      </w:r>
      <w:proofErr w:type="spellStart"/>
      <w:r w:rsidRPr="009E5984">
        <w:rPr>
          <w:rFonts w:ascii="Arial" w:hAnsi="Arial" w:cs="Arial"/>
          <w:sz w:val="16"/>
          <w:szCs w:val="16"/>
          <w:lang w:val="en-GB"/>
        </w:rPr>
        <w:t>Euromed</w:t>
      </w:r>
      <w:proofErr w:type="spellEnd"/>
      <w:r w:rsidRPr="009E5984">
        <w:rPr>
          <w:rFonts w:ascii="Arial" w:hAnsi="Arial" w:cs="Arial"/>
          <w:sz w:val="16"/>
          <w:szCs w:val="16"/>
          <w:lang w:val="en-GB"/>
        </w:rPr>
        <w:t xml:space="preserve"> Region</w:t>
      </w:r>
    </w:p>
  </w:footnote>
  <w:footnote w:id="2">
    <w:p w:rsidR="009E5984" w:rsidRPr="004A4E00" w:rsidRDefault="009E5984">
      <w:pPr>
        <w:pStyle w:val="Notedebasdepage"/>
        <w:rPr>
          <w:rFonts w:ascii="Arial" w:hAnsi="Arial" w:cs="Arial"/>
          <w:sz w:val="16"/>
          <w:szCs w:val="16"/>
        </w:rPr>
      </w:pPr>
      <w:r w:rsidRPr="009B5F8D">
        <w:rPr>
          <w:rStyle w:val="Appelnotedebasdep"/>
          <w:rFonts w:ascii="Arial" w:hAnsi="Arial" w:cs="Arial"/>
          <w:sz w:val="16"/>
          <w:szCs w:val="16"/>
        </w:rPr>
        <w:footnoteRef/>
      </w:r>
      <w:r w:rsidRPr="009B5F8D">
        <w:rPr>
          <w:rFonts w:ascii="Arial" w:hAnsi="Arial" w:cs="Arial"/>
          <w:sz w:val="16"/>
          <w:szCs w:val="16"/>
          <w:lang w:val="en-GB"/>
        </w:rPr>
        <w:t xml:space="preserve"> Creation of the Africa, Middle East and India Region as a result of the splitting of the </w:t>
      </w:r>
      <w:proofErr w:type="spellStart"/>
      <w:r w:rsidRPr="009B5F8D">
        <w:rPr>
          <w:rFonts w:ascii="Arial" w:hAnsi="Arial" w:cs="Arial"/>
          <w:sz w:val="16"/>
          <w:szCs w:val="16"/>
          <w:lang w:val="en-GB"/>
        </w:rPr>
        <w:t>Euromed</w:t>
      </w:r>
      <w:proofErr w:type="spellEnd"/>
      <w:r w:rsidRPr="009B5F8D">
        <w:rPr>
          <w:rFonts w:ascii="Arial" w:hAnsi="Arial" w:cs="Arial"/>
          <w:sz w:val="16"/>
          <w:szCs w:val="16"/>
          <w:lang w:val="en-GB"/>
        </w:rPr>
        <w:t>-Africa and Asia-Pacific Regions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17D1"/>
    <w:multiLevelType w:val="multilevel"/>
    <w:tmpl w:val="AD3C6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ED06A5"/>
    <w:multiLevelType w:val="multilevel"/>
    <w:tmpl w:val="1F0C8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D4734F3"/>
    <w:multiLevelType w:val="hybridMultilevel"/>
    <w:tmpl w:val="F84C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120D94"/>
    <w:multiLevelType w:val="hybridMultilevel"/>
    <w:tmpl w:val="67DCF506"/>
    <w:lvl w:ilvl="0" w:tplc="0602D8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6B2E39"/>
    <w:multiLevelType w:val="hybridMultilevel"/>
    <w:tmpl w:val="DEA4F608"/>
    <w:lvl w:ilvl="0" w:tplc="0602D8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2E5635"/>
    <w:multiLevelType w:val="multilevel"/>
    <w:tmpl w:val="DB1E9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ECF2B1C"/>
    <w:multiLevelType w:val="hybridMultilevel"/>
    <w:tmpl w:val="FDA41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012BF3"/>
    <w:multiLevelType w:val="hybridMultilevel"/>
    <w:tmpl w:val="9F98F49C"/>
    <w:lvl w:ilvl="0" w:tplc="0602D8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4739C"/>
    <w:multiLevelType w:val="hybridMultilevel"/>
    <w:tmpl w:val="EEFE3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B858B5"/>
    <w:multiLevelType w:val="multilevel"/>
    <w:tmpl w:val="D9CA9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F2A1B57"/>
    <w:multiLevelType w:val="hybridMultilevel"/>
    <w:tmpl w:val="2BD02270"/>
    <w:lvl w:ilvl="0" w:tplc="0602D8E6">
      <w:start w:val="1"/>
      <w:numFmt w:val="bullet"/>
      <w:lvlText w:val="-"/>
      <w:lvlJc w:val="left"/>
      <w:pPr>
        <w:ind w:left="-2290" w:hanging="360"/>
      </w:pPr>
      <w:rPr>
        <w:rFonts w:ascii="Arial" w:hAnsi="Aria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850" w:hanging="360"/>
      </w:pPr>
      <w:rPr>
        <w:rFonts w:ascii="Wingdings" w:hAnsi="Wingdings" w:hint="default"/>
      </w:rPr>
    </w:lvl>
    <w:lvl w:ilvl="3" w:tplc="04090001" w:tentative="1">
      <w:start w:val="1"/>
      <w:numFmt w:val="bullet"/>
      <w:lvlText w:val=""/>
      <w:lvlJc w:val="left"/>
      <w:pPr>
        <w:ind w:left="-130" w:hanging="360"/>
      </w:pPr>
      <w:rPr>
        <w:rFonts w:ascii="Symbol" w:hAnsi="Symbol" w:hint="default"/>
      </w:rPr>
    </w:lvl>
    <w:lvl w:ilvl="4" w:tplc="04090003" w:tentative="1">
      <w:start w:val="1"/>
      <w:numFmt w:val="bullet"/>
      <w:lvlText w:val="o"/>
      <w:lvlJc w:val="left"/>
      <w:pPr>
        <w:ind w:left="590" w:hanging="360"/>
      </w:pPr>
      <w:rPr>
        <w:rFonts w:ascii="Courier New" w:hAnsi="Courier New" w:cs="Courier New" w:hint="default"/>
      </w:rPr>
    </w:lvl>
    <w:lvl w:ilvl="5" w:tplc="04090005" w:tentative="1">
      <w:start w:val="1"/>
      <w:numFmt w:val="bullet"/>
      <w:lvlText w:val=""/>
      <w:lvlJc w:val="left"/>
      <w:pPr>
        <w:ind w:left="1310" w:hanging="360"/>
      </w:pPr>
      <w:rPr>
        <w:rFonts w:ascii="Wingdings" w:hAnsi="Wingdings" w:hint="default"/>
      </w:rPr>
    </w:lvl>
    <w:lvl w:ilvl="6" w:tplc="04090001" w:tentative="1">
      <w:start w:val="1"/>
      <w:numFmt w:val="bullet"/>
      <w:lvlText w:val=""/>
      <w:lvlJc w:val="left"/>
      <w:pPr>
        <w:ind w:left="2030" w:hanging="360"/>
      </w:pPr>
      <w:rPr>
        <w:rFonts w:ascii="Symbol" w:hAnsi="Symbol" w:hint="default"/>
      </w:rPr>
    </w:lvl>
    <w:lvl w:ilvl="7" w:tplc="04090003" w:tentative="1">
      <w:start w:val="1"/>
      <w:numFmt w:val="bullet"/>
      <w:lvlText w:val="o"/>
      <w:lvlJc w:val="left"/>
      <w:pPr>
        <w:ind w:left="2750" w:hanging="360"/>
      </w:pPr>
      <w:rPr>
        <w:rFonts w:ascii="Courier New" w:hAnsi="Courier New" w:cs="Courier New" w:hint="default"/>
      </w:rPr>
    </w:lvl>
    <w:lvl w:ilvl="8" w:tplc="04090005" w:tentative="1">
      <w:start w:val="1"/>
      <w:numFmt w:val="bullet"/>
      <w:lvlText w:val=""/>
      <w:lvlJc w:val="left"/>
      <w:pPr>
        <w:ind w:left="3470" w:hanging="360"/>
      </w:pPr>
      <w:rPr>
        <w:rFonts w:ascii="Wingdings" w:hAnsi="Wingdings" w:hint="default"/>
      </w:rPr>
    </w:lvl>
  </w:abstractNum>
  <w:abstractNum w:abstractNumId="11">
    <w:nsid w:val="623F47B4"/>
    <w:multiLevelType w:val="multilevel"/>
    <w:tmpl w:val="2070C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4282B13"/>
    <w:multiLevelType w:val="multilevel"/>
    <w:tmpl w:val="42E4A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6BA47B4"/>
    <w:multiLevelType w:val="hybridMultilevel"/>
    <w:tmpl w:val="AE6AA014"/>
    <w:lvl w:ilvl="0" w:tplc="0602D8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AB6DD8"/>
    <w:multiLevelType w:val="hybridMultilevel"/>
    <w:tmpl w:val="7DE0A0B0"/>
    <w:lvl w:ilvl="0" w:tplc="0602D8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545B2D"/>
    <w:multiLevelType w:val="hybridMultilevel"/>
    <w:tmpl w:val="3FDAF780"/>
    <w:lvl w:ilvl="0" w:tplc="0602D8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6A12FE"/>
    <w:multiLevelType w:val="multilevel"/>
    <w:tmpl w:val="97367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2"/>
  </w:num>
  <w:num w:numId="4">
    <w:abstractNumId w:val="0"/>
  </w:num>
  <w:num w:numId="5">
    <w:abstractNumId w:val="5"/>
  </w:num>
  <w:num w:numId="6">
    <w:abstractNumId w:val="1"/>
  </w:num>
  <w:num w:numId="7">
    <w:abstractNumId w:val="16"/>
  </w:num>
  <w:num w:numId="8">
    <w:abstractNumId w:val="8"/>
  </w:num>
  <w:num w:numId="9">
    <w:abstractNumId w:val="6"/>
  </w:num>
  <w:num w:numId="10">
    <w:abstractNumId w:val="7"/>
  </w:num>
  <w:num w:numId="11">
    <w:abstractNumId w:val="10"/>
  </w:num>
  <w:num w:numId="12">
    <w:abstractNumId w:val="4"/>
  </w:num>
  <w:num w:numId="13">
    <w:abstractNumId w:val="14"/>
  </w:num>
  <w:num w:numId="14">
    <w:abstractNumId w:val="13"/>
  </w:num>
  <w:num w:numId="15">
    <w:abstractNumId w:val="3"/>
  </w:num>
  <w:num w:numId="16">
    <w:abstractNumId w:val="15"/>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
  <w:rsids>
    <w:rsidRoot w:val="001F62FE"/>
    <w:rsid w:val="00020B4A"/>
    <w:rsid w:val="00036394"/>
    <w:rsid w:val="0005798C"/>
    <w:rsid w:val="00074776"/>
    <w:rsid w:val="000830BB"/>
    <w:rsid w:val="00087176"/>
    <w:rsid w:val="000A5692"/>
    <w:rsid w:val="000A5D98"/>
    <w:rsid w:val="000C2A7A"/>
    <w:rsid w:val="000E4F60"/>
    <w:rsid w:val="000F2F50"/>
    <w:rsid w:val="000F6B64"/>
    <w:rsid w:val="00107334"/>
    <w:rsid w:val="00113194"/>
    <w:rsid w:val="00113731"/>
    <w:rsid w:val="00146116"/>
    <w:rsid w:val="001525D7"/>
    <w:rsid w:val="001A4F35"/>
    <w:rsid w:val="001B6847"/>
    <w:rsid w:val="001C0E80"/>
    <w:rsid w:val="001C4E89"/>
    <w:rsid w:val="001F15C5"/>
    <w:rsid w:val="001F62FE"/>
    <w:rsid w:val="00207B09"/>
    <w:rsid w:val="00211CD4"/>
    <w:rsid w:val="00221DD8"/>
    <w:rsid w:val="00223DFF"/>
    <w:rsid w:val="002322A6"/>
    <w:rsid w:val="002353DF"/>
    <w:rsid w:val="0026087F"/>
    <w:rsid w:val="00260ADA"/>
    <w:rsid w:val="00275839"/>
    <w:rsid w:val="00286B70"/>
    <w:rsid w:val="002B79DE"/>
    <w:rsid w:val="002D3960"/>
    <w:rsid w:val="002D3A01"/>
    <w:rsid w:val="00325D30"/>
    <w:rsid w:val="00326B61"/>
    <w:rsid w:val="003417CC"/>
    <w:rsid w:val="00372EA9"/>
    <w:rsid w:val="003E3EE7"/>
    <w:rsid w:val="003E505E"/>
    <w:rsid w:val="004069C2"/>
    <w:rsid w:val="00411F3D"/>
    <w:rsid w:val="00413B04"/>
    <w:rsid w:val="00416378"/>
    <w:rsid w:val="00421144"/>
    <w:rsid w:val="00422B09"/>
    <w:rsid w:val="004539F7"/>
    <w:rsid w:val="00472DCB"/>
    <w:rsid w:val="00482C31"/>
    <w:rsid w:val="004968A7"/>
    <w:rsid w:val="004A152F"/>
    <w:rsid w:val="004A4E00"/>
    <w:rsid w:val="004C00EE"/>
    <w:rsid w:val="004C679A"/>
    <w:rsid w:val="004D5F1B"/>
    <w:rsid w:val="004F3BAD"/>
    <w:rsid w:val="00502F36"/>
    <w:rsid w:val="00506C18"/>
    <w:rsid w:val="00523B77"/>
    <w:rsid w:val="00537363"/>
    <w:rsid w:val="00542316"/>
    <w:rsid w:val="0056286B"/>
    <w:rsid w:val="00563149"/>
    <w:rsid w:val="005679CF"/>
    <w:rsid w:val="00570B25"/>
    <w:rsid w:val="00572254"/>
    <w:rsid w:val="005858E4"/>
    <w:rsid w:val="005B3FCE"/>
    <w:rsid w:val="005B4B9F"/>
    <w:rsid w:val="005B53E9"/>
    <w:rsid w:val="005B5ECD"/>
    <w:rsid w:val="005D2739"/>
    <w:rsid w:val="005F73C4"/>
    <w:rsid w:val="006024D0"/>
    <w:rsid w:val="00610884"/>
    <w:rsid w:val="00671502"/>
    <w:rsid w:val="00676D95"/>
    <w:rsid w:val="006775A3"/>
    <w:rsid w:val="00683159"/>
    <w:rsid w:val="00683312"/>
    <w:rsid w:val="00692739"/>
    <w:rsid w:val="006C08F8"/>
    <w:rsid w:val="006C412B"/>
    <w:rsid w:val="006E5446"/>
    <w:rsid w:val="00701FFF"/>
    <w:rsid w:val="00704DFD"/>
    <w:rsid w:val="0071188F"/>
    <w:rsid w:val="00715EF7"/>
    <w:rsid w:val="007254AD"/>
    <w:rsid w:val="00733316"/>
    <w:rsid w:val="00772440"/>
    <w:rsid w:val="0077717F"/>
    <w:rsid w:val="007B0124"/>
    <w:rsid w:val="007D50F6"/>
    <w:rsid w:val="007D522E"/>
    <w:rsid w:val="008015C4"/>
    <w:rsid w:val="00832E06"/>
    <w:rsid w:val="0084114E"/>
    <w:rsid w:val="0085178E"/>
    <w:rsid w:val="00877BF2"/>
    <w:rsid w:val="008A0C1B"/>
    <w:rsid w:val="008A1797"/>
    <w:rsid w:val="008B1EF2"/>
    <w:rsid w:val="008D2602"/>
    <w:rsid w:val="009007DD"/>
    <w:rsid w:val="00950D63"/>
    <w:rsid w:val="009663A1"/>
    <w:rsid w:val="00971EC7"/>
    <w:rsid w:val="00974213"/>
    <w:rsid w:val="009856B4"/>
    <w:rsid w:val="009859B9"/>
    <w:rsid w:val="009874C3"/>
    <w:rsid w:val="009B2620"/>
    <w:rsid w:val="009B5F8D"/>
    <w:rsid w:val="009D3E5B"/>
    <w:rsid w:val="009E5984"/>
    <w:rsid w:val="009F2A83"/>
    <w:rsid w:val="00A27193"/>
    <w:rsid w:val="00A371E9"/>
    <w:rsid w:val="00A41578"/>
    <w:rsid w:val="00A5205E"/>
    <w:rsid w:val="00A53459"/>
    <w:rsid w:val="00A67D17"/>
    <w:rsid w:val="00AA01A7"/>
    <w:rsid w:val="00AC72AB"/>
    <w:rsid w:val="00AC74E6"/>
    <w:rsid w:val="00B06E99"/>
    <w:rsid w:val="00B111D0"/>
    <w:rsid w:val="00B42739"/>
    <w:rsid w:val="00B52F90"/>
    <w:rsid w:val="00B82C52"/>
    <w:rsid w:val="00B83293"/>
    <w:rsid w:val="00B93DE1"/>
    <w:rsid w:val="00BA02FA"/>
    <w:rsid w:val="00BB2E06"/>
    <w:rsid w:val="00BB4283"/>
    <w:rsid w:val="00BE459C"/>
    <w:rsid w:val="00C1262C"/>
    <w:rsid w:val="00C1470E"/>
    <w:rsid w:val="00C23E99"/>
    <w:rsid w:val="00C36652"/>
    <w:rsid w:val="00C51AC0"/>
    <w:rsid w:val="00C961A6"/>
    <w:rsid w:val="00CB58EE"/>
    <w:rsid w:val="00CB7286"/>
    <w:rsid w:val="00CC1475"/>
    <w:rsid w:val="00CD4EE9"/>
    <w:rsid w:val="00D11EB8"/>
    <w:rsid w:val="00D12848"/>
    <w:rsid w:val="00D472C9"/>
    <w:rsid w:val="00D501C0"/>
    <w:rsid w:val="00D60622"/>
    <w:rsid w:val="00D73F29"/>
    <w:rsid w:val="00D86630"/>
    <w:rsid w:val="00DE0313"/>
    <w:rsid w:val="00E0384B"/>
    <w:rsid w:val="00E057AA"/>
    <w:rsid w:val="00E13DF0"/>
    <w:rsid w:val="00E23E98"/>
    <w:rsid w:val="00E2762B"/>
    <w:rsid w:val="00E3135E"/>
    <w:rsid w:val="00E32A33"/>
    <w:rsid w:val="00E44848"/>
    <w:rsid w:val="00E461A0"/>
    <w:rsid w:val="00E71566"/>
    <w:rsid w:val="00E80FC6"/>
    <w:rsid w:val="00EC4F6A"/>
    <w:rsid w:val="00ED6661"/>
    <w:rsid w:val="00EE13F5"/>
    <w:rsid w:val="00EE2AF3"/>
    <w:rsid w:val="00EE3D3E"/>
    <w:rsid w:val="00EF2556"/>
    <w:rsid w:val="00F1347C"/>
    <w:rsid w:val="00F15131"/>
    <w:rsid w:val="00F30883"/>
    <w:rsid w:val="00F44D57"/>
    <w:rsid w:val="00F6456A"/>
    <w:rsid w:val="00F73632"/>
    <w:rsid w:val="00F81080"/>
    <w:rsid w:val="00F907C7"/>
    <w:rsid w:val="00F93CA7"/>
    <w:rsid w:val="00FA6275"/>
    <w:rsid w:val="00FA7548"/>
    <w:rsid w:val="00FD6037"/>
    <w:rsid w:val="00FF27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AD"/>
    <w:rPr>
      <w:rFonts w:eastAsiaTheme="minorEastAsia"/>
      <w:sz w:val="24"/>
      <w:szCs w:val="24"/>
    </w:rPr>
  </w:style>
  <w:style w:type="paragraph" w:styleId="Titre1">
    <w:name w:val="heading 1"/>
    <w:basedOn w:val="Normal"/>
    <w:link w:val="Titre1Car"/>
    <w:uiPriority w:val="9"/>
    <w:qFormat/>
    <w:rsid w:val="007254AD"/>
    <w:pPr>
      <w:spacing w:before="100" w:beforeAutospacing="1" w:after="100" w:afterAutospacing="1"/>
      <w:outlineLvl w:val="0"/>
    </w:pPr>
    <w:rPr>
      <w:rFonts w:ascii="Arial" w:hAnsi="Arial" w:cs="Arial"/>
      <w:b/>
      <w:bCs/>
      <w:caps/>
      <w:color w:val="000000"/>
      <w:kern w:val="36"/>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254AD"/>
    <w:rPr>
      <w:color w:val="0000FF"/>
      <w:u w:val="single"/>
    </w:rPr>
  </w:style>
  <w:style w:type="character" w:styleId="Lienhypertextesuivivisit">
    <w:name w:val="FollowedHyperlink"/>
    <w:basedOn w:val="Policepardfaut"/>
    <w:uiPriority w:val="99"/>
    <w:semiHidden/>
    <w:unhideWhenUsed/>
    <w:rsid w:val="007254AD"/>
    <w:rPr>
      <w:color w:val="800080"/>
      <w:u w:val="single"/>
    </w:rPr>
  </w:style>
  <w:style w:type="character" w:customStyle="1" w:styleId="Titre1Car">
    <w:name w:val="Titre 1 Car"/>
    <w:basedOn w:val="Policepardfaut"/>
    <w:link w:val="Titre1"/>
    <w:uiPriority w:val="9"/>
    <w:locked/>
    <w:rsid w:val="007254AD"/>
    <w:rPr>
      <w:rFonts w:asciiTheme="majorHAnsi" w:eastAsiaTheme="majorEastAsia" w:hAnsiTheme="majorHAnsi" w:cstheme="majorBidi" w:hint="default"/>
      <w:b/>
      <w:bCs/>
      <w:color w:val="365F91" w:themeColor="accent1" w:themeShade="BF"/>
      <w:sz w:val="28"/>
      <w:szCs w:val="28"/>
    </w:rPr>
  </w:style>
  <w:style w:type="paragraph" w:styleId="NormalWeb">
    <w:name w:val="Normal (Web)"/>
    <w:basedOn w:val="Normal"/>
    <w:uiPriority w:val="99"/>
    <w:unhideWhenUsed/>
    <w:rsid w:val="007254AD"/>
    <w:pPr>
      <w:spacing w:before="100" w:beforeAutospacing="1" w:after="100" w:afterAutospacing="1"/>
    </w:pPr>
  </w:style>
  <w:style w:type="paragraph" w:styleId="Textedebulles">
    <w:name w:val="Balloon Text"/>
    <w:basedOn w:val="Normal"/>
    <w:link w:val="TextedebullesCar"/>
    <w:uiPriority w:val="99"/>
    <w:semiHidden/>
    <w:unhideWhenUsed/>
    <w:rsid w:val="007254A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254AD"/>
    <w:rPr>
      <w:rFonts w:ascii="Tahoma" w:eastAsiaTheme="minorEastAsia" w:hAnsi="Tahoma" w:cs="Tahoma" w:hint="default"/>
      <w:sz w:val="16"/>
      <w:szCs w:val="16"/>
    </w:rPr>
  </w:style>
  <w:style w:type="paragraph" w:customStyle="1" w:styleId="releasebody">
    <w:name w:val="releasebody"/>
    <w:basedOn w:val="Normal"/>
    <w:uiPriority w:val="99"/>
    <w:rsid w:val="007254AD"/>
    <w:pPr>
      <w:spacing w:before="100" w:beforeAutospacing="1" w:after="100" w:afterAutospacing="1"/>
      <w:jc w:val="both"/>
    </w:pPr>
  </w:style>
  <w:style w:type="paragraph" w:customStyle="1" w:styleId="releasedate">
    <w:name w:val="releasedate"/>
    <w:basedOn w:val="Normal"/>
    <w:uiPriority w:val="99"/>
    <w:rsid w:val="007254AD"/>
    <w:pPr>
      <w:spacing w:before="100" w:beforeAutospacing="1" w:after="100" w:afterAutospacing="1"/>
    </w:pPr>
    <w:rPr>
      <w:rFonts w:ascii="Arial" w:hAnsi="Arial" w:cs="Arial"/>
      <w:color w:val="000000"/>
      <w:sz w:val="22"/>
      <w:szCs w:val="22"/>
    </w:rPr>
  </w:style>
  <w:style w:type="paragraph" w:customStyle="1" w:styleId="releasetitle">
    <w:name w:val="releasetitle"/>
    <w:basedOn w:val="Normal"/>
    <w:uiPriority w:val="99"/>
    <w:rsid w:val="007254AD"/>
    <w:pPr>
      <w:spacing w:before="100" w:beforeAutospacing="1" w:after="100" w:afterAutospacing="1"/>
    </w:pPr>
    <w:rPr>
      <w:rFonts w:ascii="Arial" w:hAnsi="Arial" w:cs="Arial"/>
      <w:b/>
      <w:bCs/>
      <w:caps/>
      <w:sz w:val="22"/>
      <w:szCs w:val="22"/>
    </w:rPr>
  </w:style>
  <w:style w:type="paragraph" w:customStyle="1" w:styleId="lineborder">
    <w:name w:val="lineborder"/>
    <w:basedOn w:val="Normal"/>
    <w:uiPriority w:val="99"/>
    <w:rsid w:val="007254AD"/>
    <w:pPr>
      <w:pBdr>
        <w:right w:val="single" w:sz="6" w:space="0" w:color="000000"/>
      </w:pBdr>
      <w:spacing w:before="100" w:beforeAutospacing="1" w:after="100" w:afterAutospacing="1"/>
    </w:pPr>
  </w:style>
  <w:style w:type="paragraph" w:customStyle="1" w:styleId="contactarea">
    <w:name w:val="contactarea"/>
    <w:basedOn w:val="Normal"/>
    <w:uiPriority w:val="99"/>
    <w:rsid w:val="007254AD"/>
    <w:pPr>
      <w:spacing w:before="600" w:after="100" w:afterAutospacing="1"/>
    </w:pPr>
    <w:rPr>
      <w:rFonts w:ascii="Arial" w:hAnsi="Arial" w:cs="Arial"/>
      <w:sz w:val="18"/>
      <w:szCs w:val="18"/>
    </w:rPr>
  </w:style>
  <w:style w:type="paragraph" w:customStyle="1" w:styleId="contactinfo">
    <w:name w:val="contactinfo"/>
    <w:basedOn w:val="Normal"/>
    <w:uiPriority w:val="99"/>
    <w:rsid w:val="007254AD"/>
    <w:pPr>
      <w:spacing w:before="150" w:after="100" w:afterAutospacing="1"/>
    </w:pPr>
  </w:style>
  <w:style w:type="paragraph" w:customStyle="1" w:styleId="introduction">
    <w:name w:val="introduction"/>
    <w:basedOn w:val="Normal"/>
    <w:uiPriority w:val="99"/>
    <w:rsid w:val="007254AD"/>
    <w:pPr>
      <w:spacing w:before="225" w:after="225"/>
    </w:pPr>
    <w:rPr>
      <w:b/>
      <w:bCs/>
    </w:rPr>
  </w:style>
  <w:style w:type="paragraph" w:customStyle="1" w:styleId="Sous-titre1">
    <w:name w:val="Sous-titre1"/>
    <w:basedOn w:val="Normal"/>
    <w:uiPriority w:val="99"/>
    <w:rsid w:val="007254AD"/>
    <w:pPr>
      <w:spacing w:before="225" w:after="225"/>
    </w:pPr>
    <w:rPr>
      <w:rFonts w:ascii="Arial" w:hAnsi="Arial" w:cs="Arial"/>
      <w:b/>
      <w:bCs/>
    </w:rPr>
  </w:style>
  <w:style w:type="paragraph" w:customStyle="1" w:styleId="Lgende1">
    <w:name w:val="Légende1"/>
    <w:basedOn w:val="Normal"/>
    <w:uiPriority w:val="99"/>
    <w:rsid w:val="007254AD"/>
    <w:pPr>
      <w:spacing w:before="100" w:beforeAutospacing="1" w:after="100" w:afterAutospacing="1"/>
      <w:jc w:val="center"/>
    </w:pPr>
    <w:rPr>
      <w:rFonts w:ascii="Arial" w:hAnsi="Arial" w:cs="Arial"/>
      <w:i/>
      <w:iCs/>
      <w:sz w:val="17"/>
      <w:szCs w:val="17"/>
    </w:rPr>
  </w:style>
  <w:style w:type="character" w:customStyle="1" w:styleId="releasetitle1">
    <w:name w:val="releasetitle1"/>
    <w:basedOn w:val="Policepardfaut"/>
    <w:rsid w:val="007254AD"/>
    <w:rPr>
      <w:rFonts w:ascii="Arial" w:hAnsi="Arial" w:cs="Arial" w:hint="default"/>
      <w:b/>
      <w:bCs/>
      <w:caps/>
      <w:sz w:val="22"/>
      <w:szCs w:val="22"/>
    </w:rPr>
  </w:style>
  <w:style w:type="character" w:customStyle="1" w:styleId="releasedate1">
    <w:name w:val="releasedate1"/>
    <w:basedOn w:val="Policepardfaut"/>
    <w:rsid w:val="007254AD"/>
    <w:rPr>
      <w:rFonts w:ascii="Arial" w:hAnsi="Arial" w:cs="Arial" w:hint="default"/>
      <w:color w:val="000000"/>
      <w:sz w:val="22"/>
      <w:szCs w:val="22"/>
    </w:rPr>
  </w:style>
  <w:style w:type="character" w:customStyle="1" w:styleId="subtitle1">
    <w:name w:val="subtitle1"/>
    <w:basedOn w:val="Policepardfaut"/>
    <w:rsid w:val="007254AD"/>
    <w:rPr>
      <w:rFonts w:ascii="Arial" w:hAnsi="Arial" w:cs="Arial" w:hint="default"/>
      <w:b/>
      <w:bCs/>
    </w:rPr>
  </w:style>
  <w:style w:type="character" w:styleId="lev">
    <w:name w:val="Strong"/>
    <w:basedOn w:val="Policepardfaut"/>
    <w:uiPriority w:val="22"/>
    <w:qFormat/>
    <w:rsid w:val="007254AD"/>
    <w:rPr>
      <w:b/>
      <w:bCs/>
    </w:rPr>
  </w:style>
  <w:style w:type="character" w:styleId="Accentuation">
    <w:name w:val="Emphasis"/>
    <w:basedOn w:val="Policepardfaut"/>
    <w:uiPriority w:val="20"/>
    <w:qFormat/>
    <w:rsid w:val="007254AD"/>
    <w:rPr>
      <w:i/>
      <w:iCs/>
    </w:rPr>
  </w:style>
  <w:style w:type="paragraph" w:styleId="Paragraphedeliste">
    <w:name w:val="List Paragraph"/>
    <w:basedOn w:val="Normal"/>
    <w:uiPriority w:val="34"/>
    <w:qFormat/>
    <w:rsid w:val="003E505E"/>
    <w:pPr>
      <w:ind w:left="720"/>
      <w:contextualSpacing/>
    </w:pPr>
  </w:style>
  <w:style w:type="paragraph" w:styleId="Notedefin">
    <w:name w:val="endnote text"/>
    <w:basedOn w:val="Normal"/>
    <w:link w:val="NotedefinCar"/>
    <w:uiPriority w:val="99"/>
    <w:semiHidden/>
    <w:unhideWhenUsed/>
    <w:rsid w:val="00E80FC6"/>
    <w:rPr>
      <w:sz w:val="20"/>
      <w:szCs w:val="20"/>
    </w:rPr>
  </w:style>
  <w:style w:type="character" w:customStyle="1" w:styleId="NotedefinCar">
    <w:name w:val="Note de fin Car"/>
    <w:basedOn w:val="Policepardfaut"/>
    <w:link w:val="Notedefin"/>
    <w:uiPriority w:val="99"/>
    <w:semiHidden/>
    <w:rsid w:val="00E80FC6"/>
    <w:rPr>
      <w:rFonts w:eastAsiaTheme="minorEastAsia"/>
    </w:rPr>
  </w:style>
  <w:style w:type="character" w:styleId="Appeldenotedefin">
    <w:name w:val="endnote reference"/>
    <w:basedOn w:val="Policepardfaut"/>
    <w:uiPriority w:val="99"/>
    <w:semiHidden/>
    <w:unhideWhenUsed/>
    <w:rsid w:val="00E80FC6"/>
    <w:rPr>
      <w:vertAlign w:val="superscript"/>
    </w:rPr>
  </w:style>
  <w:style w:type="paragraph" w:styleId="Notedebasdepage">
    <w:name w:val="footnote text"/>
    <w:basedOn w:val="Normal"/>
    <w:link w:val="NotedebasdepageCar"/>
    <w:uiPriority w:val="99"/>
    <w:semiHidden/>
    <w:unhideWhenUsed/>
    <w:rsid w:val="00E80FC6"/>
    <w:rPr>
      <w:sz w:val="20"/>
      <w:szCs w:val="20"/>
    </w:rPr>
  </w:style>
  <w:style w:type="character" w:customStyle="1" w:styleId="NotedebasdepageCar">
    <w:name w:val="Note de bas de page Car"/>
    <w:basedOn w:val="Policepardfaut"/>
    <w:link w:val="Notedebasdepage"/>
    <w:uiPriority w:val="99"/>
    <w:semiHidden/>
    <w:rsid w:val="00E80FC6"/>
    <w:rPr>
      <w:rFonts w:eastAsiaTheme="minorEastAsia"/>
    </w:rPr>
  </w:style>
  <w:style w:type="character" w:styleId="Appelnotedebasdep">
    <w:name w:val="footnote reference"/>
    <w:basedOn w:val="Policepardfaut"/>
    <w:uiPriority w:val="99"/>
    <w:semiHidden/>
    <w:unhideWhenUsed/>
    <w:rsid w:val="00E80FC6"/>
    <w:rPr>
      <w:vertAlign w:val="superscript"/>
    </w:rPr>
  </w:style>
  <w:style w:type="paragraph" w:customStyle="1" w:styleId="Sous-titre2">
    <w:name w:val="Sous-titre2"/>
    <w:basedOn w:val="Normal"/>
    <w:rsid w:val="000F6B64"/>
    <w:pPr>
      <w:spacing w:before="225" w:after="225"/>
    </w:pPr>
    <w:rPr>
      <w:rFonts w:ascii="Arial" w:hAnsi="Arial" w:cs="Arial"/>
      <w:b/>
      <w:bCs/>
    </w:rPr>
  </w:style>
  <w:style w:type="table" w:styleId="Trameclaire-Accent1">
    <w:name w:val="Light Shading Accent 1"/>
    <w:basedOn w:val="TableauNormal"/>
    <w:uiPriority w:val="60"/>
    <w:rsid w:val="000F6B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Marquedecommentaire">
    <w:name w:val="annotation reference"/>
    <w:basedOn w:val="Policepardfaut"/>
    <w:uiPriority w:val="99"/>
    <w:semiHidden/>
    <w:unhideWhenUsed/>
    <w:rsid w:val="0084114E"/>
    <w:rPr>
      <w:sz w:val="16"/>
      <w:szCs w:val="16"/>
    </w:rPr>
  </w:style>
  <w:style w:type="paragraph" w:styleId="Commentaire">
    <w:name w:val="annotation text"/>
    <w:basedOn w:val="Normal"/>
    <w:link w:val="CommentaireCar"/>
    <w:uiPriority w:val="99"/>
    <w:semiHidden/>
    <w:unhideWhenUsed/>
    <w:rsid w:val="0084114E"/>
    <w:rPr>
      <w:sz w:val="20"/>
      <w:szCs w:val="20"/>
    </w:rPr>
  </w:style>
  <w:style w:type="character" w:customStyle="1" w:styleId="CommentaireCar">
    <w:name w:val="Commentaire Car"/>
    <w:basedOn w:val="Policepardfaut"/>
    <w:link w:val="Commentaire"/>
    <w:uiPriority w:val="99"/>
    <w:semiHidden/>
    <w:rsid w:val="0084114E"/>
    <w:rPr>
      <w:rFonts w:eastAsiaTheme="minorEastAsia"/>
    </w:rPr>
  </w:style>
  <w:style w:type="paragraph" w:styleId="Objetducommentaire">
    <w:name w:val="annotation subject"/>
    <w:basedOn w:val="Commentaire"/>
    <w:next w:val="Commentaire"/>
    <w:link w:val="ObjetducommentaireCar"/>
    <w:uiPriority w:val="99"/>
    <w:semiHidden/>
    <w:unhideWhenUsed/>
    <w:rsid w:val="0084114E"/>
    <w:rPr>
      <w:b/>
      <w:bCs/>
    </w:rPr>
  </w:style>
  <w:style w:type="character" w:customStyle="1" w:styleId="ObjetducommentaireCar">
    <w:name w:val="Objet du commentaire Car"/>
    <w:basedOn w:val="CommentaireCar"/>
    <w:link w:val="Objetducommentaire"/>
    <w:uiPriority w:val="99"/>
    <w:semiHidden/>
    <w:rsid w:val="0084114E"/>
    <w:rPr>
      <w:rFonts w:eastAsiaTheme="minorEastAsi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itre1">
    <w:name w:val="heading 1"/>
    <w:basedOn w:val="Normal"/>
    <w:link w:val="Titre1Car"/>
    <w:uiPriority w:val="9"/>
    <w:qFormat/>
    <w:pPr>
      <w:spacing w:before="100" w:beforeAutospacing="1" w:after="100" w:afterAutospacing="1"/>
      <w:outlineLvl w:val="0"/>
    </w:pPr>
    <w:rPr>
      <w:rFonts w:ascii="Arial" w:hAnsi="Arial" w:cs="Arial"/>
      <w:b/>
      <w:bCs/>
      <w:caps/>
      <w:color w:val="000000"/>
      <w:kern w:val="36"/>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character" w:customStyle="1" w:styleId="Titre1Car">
    <w:name w:val="Titre 1 Car"/>
    <w:basedOn w:val="Policepardfaut"/>
    <w:link w:val="Titre1"/>
    <w:uiPriority w:val="9"/>
    <w:locked/>
    <w:rPr>
      <w:rFonts w:asciiTheme="majorHAnsi" w:eastAsiaTheme="majorEastAsia" w:hAnsiTheme="majorHAnsi" w:cstheme="majorBidi" w:hint="default"/>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eastAsiaTheme="minorEastAsia" w:hAnsi="Tahoma" w:cs="Tahoma" w:hint="default"/>
      <w:sz w:val="16"/>
      <w:szCs w:val="16"/>
    </w:rPr>
  </w:style>
  <w:style w:type="paragraph" w:customStyle="1" w:styleId="releasebody">
    <w:name w:val="releasebody"/>
    <w:basedOn w:val="Normal"/>
    <w:uiPriority w:val="99"/>
    <w:pPr>
      <w:spacing w:before="100" w:beforeAutospacing="1" w:after="100" w:afterAutospacing="1"/>
      <w:jc w:val="both"/>
    </w:pPr>
  </w:style>
  <w:style w:type="paragraph" w:customStyle="1" w:styleId="releasedate">
    <w:name w:val="releasedate"/>
    <w:basedOn w:val="Normal"/>
    <w:uiPriority w:val="99"/>
    <w:pPr>
      <w:spacing w:before="100" w:beforeAutospacing="1" w:after="100" w:afterAutospacing="1"/>
    </w:pPr>
    <w:rPr>
      <w:rFonts w:ascii="Arial" w:hAnsi="Arial" w:cs="Arial"/>
      <w:color w:val="000000"/>
      <w:sz w:val="22"/>
      <w:szCs w:val="22"/>
    </w:rPr>
  </w:style>
  <w:style w:type="paragraph" w:customStyle="1" w:styleId="releasetitle">
    <w:name w:val="releasetitle"/>
    <w:basedOn w:val="Normal"/>
    <w:uiPriority w:val="99"/>
    <w:pPr>
      <w:spacing w:before="100" w:beforeAutospacing="1" w:after="100" w:afterAutospacing="1"/>
    </w:pPr>
    <w:rPr>
      <w:rFonts w:ascii="Arial" w:hAnsi="Arial" w:cs="Arial"/>
      <w:b/>
      <w:bCs/>
      <w:caps/>
      <w:sz w:val="22"/>
      <w:szCs w:val="22"/>
    </w:rPr>
  </w:style>
  <w:style w:type="paragraph" w:customStyle="1" w:styleId="lineborder">
    <w:name w:val="lineborder"/>
    <w:basedOn w:val="Normal"/>
    <w:uiPriority w:val="99"/>
    <w:pPr>
      <w:pBdr>
        <w:right w:val="single" w:sz="6" w:space="0" w:color="000000"/>
      </w:pBdr>
      <w:spacing w:before="100" w:beforeAutospacing="1" w:after="100" w:afterAutospacing="1"/>
    </w:pPr>
  </w:style>
  <w:style w:type="paragraph" w:customStyle="1" w:styleId="contactarea">
    <w:name w:val="contactarea"/>
    <w:basedOn w:val="Normal"/>
    <w:uiPriority w:val="99"/>
    <w:pPr>
      <w:spacing w:before="600" w:after="100" w:afterAutospacing="1"/>
    </w:pPr>
    <w:rPr>
      <w:rFonts w:ascii="Arial" w:hAnsi="Arial" w:cs="Arial"/>
      <w:sz w:val="18"/>
      <w:szCs w:val="18"/>
    </w:rPr>
  </w:style>
  <w:style w:type="paragraph" w:customStyle="1" w:styleId="contactinfo">
    <w:name w:val="contactinfo"/>
    <w:basedOn w:val="Normal"/>
    <w:uiPriority w:val="99"/>
    <w:pPr>
      <w:spacing w:before="150" w:after="100" w:afterAutospacing="1"/>
    </w:pPr>
  </w:style>
  <w:style w:type="paragraph" w:customStyle="1" w:styleId="introduction">
    <w:name w:val="introduction"/>
    <w:basedOn w:val="Normal"/>
    <w:uiPriority w:val="99"/>
    <w:pPr>
      <w:spacing w:before="225" w:after="225"/>
    </w:pPr>
    <w:rPr>
      <w:b/>
      <w:bCs/>
    </w:rPr>
  </w:style>
  <w:style w:type="paragraph" w:customStyle="1" w:styleId="Sous-titre1">
    <w:name w:val="Sous-titre1"/>
    <w:basedOn w:val="Normal"/>
    <w:uiPriority w:val="99"/>
    <w:pPr>
      <w:spacing w:before="225" w:after="225"/>
    </w:pPr>
    <w:rPr>
      <w:rFonts w:ascii="Arial" w:hAnsi="Arial" w:cs="Arial"/>
      <w:b/>
      <w:bCs/>
    </w:rPr>
  </w:style>
  <w:style w:type="paragraph" w:customStyle="1" w:styleId="Lgende1">
    <w:name w:val="Légende1"/>
    <w:basedOn w:val="Normal"/>
    <w:uiPriority w:val="99"/>
    <w:pPr>
      <w:spacing w:before="100" w:beforeAutospacing="1" w:after="100" w:afterAutospacing="1"/>
      <w:jc w:val="center"/>
    </w:pPr>
    <w:rPr>
      <w:rFonts w:ascii="Arial" w:hAnsi="Arial" w:cs="Arial"/>
      <w:i/>
      <w:iCs/>
      <w:sz w:val="17"/>
      <w:szCs w:val="17"/>
    </w:rPr>
  </w:style>
  <w:style w:type="character" w:customStyle="1" w:styleId="releasetitle1">
    <w:name w:val="releasetitle1"/>
    <w:basedOn w:val="Policepardfaut"/>
    <w:rPr>
      <w:rFonts w:ascii="Arial" w:hAnsi="Arial" w:cs="Arial" w:hint="default"/>
      <w:b/>
      <w:bCs/>
      <w:caps/>
      <w:sz w:val="22"/>
      <w:szCs w:val="22"/>
    </w:rPr>
  </w:style>
  <w:style w:type="character" w:customStyle="1" w:styleId="releasedate1">
    <w:name w:val="releasedate1"/>
    <w:basedOn w:val="Policepardfaut"/>
    <w:rPr>
      <w:rFonts w:ascii="Arial" w:hAnsi="Arial" w:cs="Arial" w:hint="default"/>
      <w:color w:val="000000"/>
      <w:sz w:val="22"/>
      <w:szCs w:val="22"/>
    </w:rPr>
  </w:style>
  <w:style w:type="character" w:customStyle="1" w:styleId="subtitle1">
    <w:name w:val="subtitle1"/>
    <w:basedOn w:val="Policepardfaut"/>
    <w:rPr>
      <w:rFonts w:ascii="Arial" w:hAnsi="Arial" w:cs="Arial" w:hint="default"/>
      <w:b/>
      <w:bCs/>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Paragraphedeliste">
    <w:name w:val="List Paragraph"/>
    <w:basedOn w:val="Normal"/>
    <w:uiPriority w:val="34"/>
    <w:qFormat/>
    <w:rsid w:val="003E505E"/>
    <w:pPr>
      <w:ind w:left="720"/>
      <w:contextualSpacing/>
    </w:pPr>
  </w:style>
  <w:style w:type="paragraph" w:styleId="Notedefin">
    <w:name w:val="endnote text"/>
    <w:basedOn w:val="Normal"/>
    <w:link w:val="NotedefinCar"/>
    <w:uiPriority w:val="99"/>
    <w:semiHidden/>
    <w:unhideWhenUsed/>
    <w:rsid w:val="00E80FC6"/>
    <w:rPr>
      <w:sz w:val="20"/>
      <w:szCs w:val="20"/>
    </w:rPr>
  </w:style>
  <w:style w:type="character" w:customStyle="1" w:styleId="NotedefinCar">
    <w:name w:val="Note de fin Car"/>
    <w:basedOn w:val="Policepardfaut"/>
    <w:link w:val="Notedefin"/>
    <w:uiPriority w:val="99"/>
    <w:semiHidden/>
    <w:rsid w:val="00E80FC6"/>
    <w:rPr>
      <w:rFonts w:eastAsiaTheme="minorEastAsia"/>
    </w:rPr>
  </w:style>
  <w:style w:type="character" w:styleId="Appeldenotedefin">
    <w:name w:val="endnote reference"/>
    <w:basedOn w:val="Policepardfaut"/>
    <w:uiPriority w:val="99"/>
    <w:semiHidden/>
    <w:unhideWhenUsed/>
    <w:rsid w:val="00E80FC6"/>
    <w:rPr>
      <w:vertAlign w:val="superscript"/>
    </w:rPr>
  </w:style>
  <w:style w:type="paragraph" w:styleId="Notedebasdepage">
    <w:name w:val="footnote text"/>
    <w:basedOn w:val="Normal"/>
    <w:link w:val="NotedebasdepageCar"/>
    <w:uiPriority w:val="99"/>
    <w:semiHidden/>
    <w:unhideWhenUsed/>
    <w:rsid w:val="00E80FC6"/>
    <w:rPr>
      <w:sz w:val="20"/>
      <w:szCs w:val="20"/>
    </w:rPr>
  </w:style>
  <w:style w:type="character" w:customStyle="1" w:styleId="NotedebasdepageCar">
    <w:name w:val="Note de bas de page Car"/>
    <w:basedOn w:val="Policepardfaut"/>
    <w:link w:val="Notedebasdepage"/>
    <w:uiPriority w:val="99"/>
    <w:semiHidden/>
    <w:rsid w:val="00E80FC6"/>
    <w:rPr>
      <w:rFonts w:eastAsiaTheme="minorEastAsia"/>
    </w:rPr>
  </w:style>
  <w:style w:type="character" w:styleId="Appelnotedebasdep">
    <w:name w:val="footnote reference"/>
    <w:basedOn w:val="Policepardfaut"/>
    <w:uiPriority w:val="99"/>
    <w:semiHidden/>
    <w:unhideWhenUsed/>
    <w:rsid w:val="00E80FC6"/>
    <w:rPr>
      <w:vertAlign w:val="superscript"/>
    </w:rPr>
  </w:style>
  <w:style w:type="paragraph" w:customStyle="1" w:styleId="Sous-titre2">
    <w:name w:val="Sous-titre2"/>
    <w:basedOn w:val="Normal"/>
    <w:rsid w:val="000F6B64"/>
    <w:pPr>
      <w:spacing w:before="225" w:after="225"/>
    </w:pPr>
    <w:rPr>
      <w:rFonts w:ascii="Arial" w:hAnsi="Arial" w:cs="Arial"/>
      <w:b/>
      <w:bCs/>
    </w:rPr>
  </w:style>
  <w:style w:type="table" w:styleId="Trameclaire-Accent1">
    <w:name w:val="Light Shading Accent 1"/>
    <w:basedOn w:val="TableauNormal"/>
    <w:uiPriority w:val="60"/>
    <w:rsid w:val="000F6B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Marquedecommentaire">
    <w:name w:val="annotation reference"/>
    <w:basedOn w:val="Policepardfaut"/>
    <w:uiPriority w:val="99"/>
    <w:semiHidden/>
    <w:unhideWhenUsed/>
    <w:rsid w:val="0084114E"/>
    <w:rPr>
      <w:sz w:val="16"/>
      <w:szCs w:val="16"/>
    </w:rPr>
  </w:style>
  <w:style w:type="paragraph" w:styleId="Commentaire">
    <w:name w:val="annotation text"/>
    <w:basedOn w:val="Normal"/>
    <w:link w:val="CommentaireCar"/>
    <w:uiPriority w:val="99"/>
    <w:semiHidden/>
    <w:unhideWhenUsed/>
    <w:rsid w:val="0084114E"/>
    <w:rPr>
      <w:sz w:val="20"/>
      <w:szCs w:val="20"/>
    </w:rPr>
  </w:style>
  <w:style w:type="character" w:customStyle="1" w:styleId="CommentaireCar">
    <w:name w:val="Commentaire Car"/>
    <w:basedOn w:val="Policepardfaut"/>
    <w:link w:val="Commentaire"/>
    <w:uiPriority w:val="99"/>
    <w:semiHidden/>
    <w:rsid w:val="0084114E"/>
    <w:rPr>
      <w:rFonts w:eastAsiaTheme="minorEastAsia"/>
    </w:rPr>
  </w:style>
  <w:style w:type="paragraph" w:styleId="Objetducommentaire">
    <w:name w:val="annotation subject"/>
    <w:basedOn w:val="Commentaire"/>
    <w:next w:val="Commentaire"/>
    <w:link w:val="ObjetducommentaireCar"/>
    <w:uiPriority w:val="99"/>
    <w:semiHidden/>
    <w:unhideWhenUsed/>
    <w:rsid w:val="0084114E"/>
    <w:rPr>
      <w:b/>
      <w:bCs/>
    </w:rPr>
  </w:style>
  <w:style w:type="character" w:customStyle="1" w:styleId="ObjetducommentaireCar">
    <w:name w:val="Objet du commentaire Car"/>
    <w:basedOn w:val="CommentaireCar"/>
    <w:link w:val="Objetducommentaire"/>
    <w:uiPriority w:val="99"/>
    <w:semiHidden/>
    <w:rsid w:val="0084114E"/>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99556">
      <w:marLeft w:val="1021"/>
      <w:marRight w:val="1021"/>
      <w:marTop w:val="680"/>
      <w:marBottom w:val="0"/>
      <w:divBdr>
        <w:top w:val="none" w:sz="0" w:space="0" w:color="auto"/>
        <w:left w:val="none" w:sz="0" w:space="0" w:color="auto"/>
        <w:bottom w:val="none" w:sz="0" w:space="0" w:color="auto"/>
        <w:right w:val="none" w:sz="0" w:space="0" w:color="auto"/>
      </w:divBdr>
      <w:divsChild>
        <w:div w:id="1359165524">
          <w:marLeft w:val="0"/>
          <w:marRight w:val="0"/>
          <w:marTop w:val="680"/>
          <w:marBottom w:val="0"/>
          <w:divBdr>
            <w:top w:val="none" w:sz="0" w:space="0" w:color="auto"/>
            <w:left w:val="none" w:sz="0" w:space="0" w:color="auto"/>
            <w:bottom w:val="none" w:sz="0" w:space="0" w:color="auto"/>
            <w:right w:val="none" w:sz="0" w:space="0" w:color="auto"/>
          </w:divBdr>
        </w:div>
        <w:div w:id="10010795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witter.com/Renault_L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nault.be" TargetMode="External"/><Relationship Id="rId5" Type="http://schemas.openxmlformats.org/officeDocument/2006/relationships/settings" Target="settings.xml"/><Relationship Id="rId10" Type="http://schemas.openxmlformats.org/officeDocument/2006/relationships/hyperlink" Target="http://www.media.renault.com" TargetMode="External"/><Relationship Id="rId4" Type="http://schemas.microsoft.com/office/2007/relationships/stylesWithEffects" Target="stylesWithEffects.xml"/><Relationship Id="rId9" Type="http://schemas.openxmlformats.org/officeDocument/2006/relationships/image" Target="http://media.renault.com/images/generic/header/Renault_PressReleaseHeader.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50A58-825A-47DB-A931-33D616F8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9026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media.renault.com - World sales results 2013</vt:lpstr>
    </vt:vector>
  </TitlesOfParts>
  <Company>ALLIANCE</Company>
  <LinksUpToDate>false</LinksUpToDate>
  <CharactersWithSpaces>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media.renault.com - World sales results 2013</dc:title>
  <dc:creator>LE-CLERRE Aurelie</dc:creator>
  <cp:lastModifiedBy>LE-CLERRE Aurelie</cp:lastModifiedBy>
  <cp:revision>3</cp:revision>
  <cp:lastPrinted>2015-01-16T17:19:00Z</cp:lastPrinted>
  <dcterms:created xsi:type="dcterms:W3CDTF">2015-01-16T17:41:00Z</dcterms:created>
  <dcterms:modified xsi:type="dcterms:W3CDTF">2015-01-16T17:42:00Z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963003813</vt:i4>
  </property>
  <property fmtid="{D5CDD505-2E9C-101B-9397-08002B2CF9AE}" pid="3" name="_NewReviewCycle">
    <vt:lpwstr/>
  </property>
  <property fmtid="{D5CDD505-2E9C-101B-9397-08002B2CF9AE}" pid="4" name="_EmailSubject">
    <vt:lpwstr>ROV PRESS RELEASE AND IN-HOUSE NEWS BULLETIN: 2014 SALES RESULTS</vt:lpwstr>
  </property>
  <property fmtid="{D5CDD505-2E9C-101B-9397-08002B2CF9AE}" pid="5" name="_AuthorEmail">
    <vt:lpwstr>onevoice@renault.com</vt:lpwstr>
  </property>
  <property fmtid="{D5CDD505-2E9C-101B-9397-08002B2CF9AE}" pid="6" name="_AuthorEmailDisplayName">
    <vt:lpwstr>ONEVOICE</vt:lpwstr>
  </property>
  <property fmtid="{D5CDD505-2E9C-101B-9397-08002B2CF9AE}" pid="7" name="_PreviousAdHocReviewCycleID">
    <vt:i4>2146917178</vt:i4>
  </property>
</Properties>
</file>